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d03ad93533c0d67768d84c57fb35ed18c703948"/>
    <w:p>
      <w:pPr>
        <w:pStyle w:val="Heading1"/>
      </w:pPr>
      <w:r>
        <w:rPr>
          <w:lang w:val="fr-FR"/>
        </w:rPr>
        <w:t xml:space="preserve">Fiche de registre des activités de traitement</w:t>
      </w:r>
    </w:p>
    <w:bookmarkStart w:id="9" w:name="X3ecbb88c2051ee46bad58023decdc7616eb1eba"/>
    <w:p>
      <w:pPr>
        <w:pStyle w:val="Heading2"/>
      </w:pPr>
      <w:r>
        <w:rPr>
          <w:lang w:val="fr-FR"/>
        </w:rPr>
        <w:t xml:space="preserve">Accompagnement à l’orientation scolaire assisté par IA (OrIAntation)</w:t>
      </w:r>
    </w:p>
    <w:p>
      <w:pPr>
        <w:pStyle w:val="FirstParagraph"/>
      </w:pPr>
      <w:r>
        <w:rPr>
          <w:b/>
          <w:bCs/>
          <w:lang w:val="fr-FR"/>
        </w:rPr>
        <w:t xml:space="preserve">Modèle pré-rempli fourni par l’éditeur, à adapter et valider par l’établissement (article 30 du RGPD).</w:t>
      </w:r>
      <w:r>
        <w:rPr>
          <w:lang w:val="fr-FR"/>
        </w:rPr>
        <w:t xml:space="preserve"> </w:t>
      </w:r>
      <w:r>
        <w:rPr>
          <w:lang w:val="fr-FR"/>
        </w:rPr>
        <w:t xml:space="preserve">Les champs marqués [À COMPLÉTER] sont à renseigner par l’établissement. Cette fiche s’insère dans le registre des activités de traitement tenu par l’établissement ; elle accompagne l’accord de sous-traitance (article 28) et le modèle d’AIPD fournis dans le même kit.</w:t>
      </w:r>
    </w:p>
    <w:p>
      <w:pPr>
        <w:pStyle w:val="BodyText"/>
      </w:pPr>
      <w:r>
        <w:rPr>
          <w:b/>
          <w:bCs/>
          <w:lang w:val="fr-FR"/>
        </w:rPr>
        <w:t xml:space="preserve">Version 1.1, 4 septembre 2026</w:t>
      </w:r>
    </w:p>
    <w:p>
      <w:r>
        <w:pict>
          <v:rect style="width:0;height:1.5pt" o:hralign="center" o:hrstd="t" o:hr="t"/>
        </w:pict>
      </w:r>
    </w:p>
    <w:bookmarkEnd w:id="9"/>
    <w:bookmarkStart w:id="10" w:name="identification-du-traitement"/>
    <w:p>
      <w:pPr>
        <w:pStyle w:val="Heading2"/>
      </w:pPr>
      <w:r>
        <w:rPr>
          <w:lang w:val="fr-FR"/>
        </w:rPr>
        <w:t xml:space="preserve">1. Identification du traitement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3574"/>
        <w:gridCol w:w="6063"/>
      </w:tblGrid>
      <w:tr>
        <w:trPr>
          <w:tblHeader w:val="on"/>
        </w:trPr>
        <w:tc>
          <w:tcPr>
            <w:shd w:val="clear" w:color="auto" w:fill="0891B2"/>
            <w:tcW w:type="dxa" w:w="3574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Champ</w:t>
            </w:r>
          </w:p>
        </w:tc>
        <w:tc>
          <w:tcPr>
            <w:shd w:val="clear" w:color="auto" w:fill="0891B2"/>
            <w:tcW w:type="dxa" w:w="6063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Valeur</w:t>
            </w:r>
          </w:p>
        </w:tc>
      </w:tr>
      <w:tr>
        <w:tc>
          <w:tcPr>
            <w:tcW w:type="dxa" w:w="357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Nom du traitement</w:t>
            </w:r>
          </w:p>
        </w:tc>
        <w:tc>
          <w:tcPr>
            <w:tcW w:type="dxa" w:w="606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Accompagnement à l’orientation scolaire assisté par IA</w:t>
            </w:r>
          </w:p>
        </w:tc>
      </w:tr>
      <w:tr>
        <w:tc>
          <w:tcPr>
            <w:tcW w:type="dxa" w:w="357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Responsable de traitement</w:t>
            </w:r>
          </w:p>
        </w:tc>
        <w:tc>
          <w:tcPr>
            <w:tcW w:type="dxa" w:w="606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 : établissement (nom, UAI, adresse)]</w:t>
            </w:r>
          </w:p>
        </w:tc>
      </w:tr>
      <w:tr>
        <w:tc>
          <w:tcPr>
            <w:tcW w:type="dxa" w:w="357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Représentant du responsable</w:t>
            </w:r>
          </w:p>
        </w:tc>
        <w:tc>
          <w:tcPr>
            <w:tcW w:type="dxa" w:w="606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 : chef d’établissement]</w:t>
            </w:r>
          </w:p>
        </w:tc>
      </w:tr>
      <w:tr>
        <w:tc>
          <w:tcPr>
            <w:tcW w:type="dxa" w:w="357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Délégué à la protection des données</w:t>
            </w:r>
          </w:p>
        </w:tc>
        <w:tc>
          <w:tcPr>
            <w:tcW w:type="dxa" w:w="606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 : DPO académique]</w:t>
            </w:r>
          </w:p>
        </w:tc>
      </w:tr>
      <w:tr>
        <w:tc>
          <w:tcPr>
            <w:tcW w:type="dxa" w:w="357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Sous-traitant (éditeur)</w:t>
            </w:r>
          </w:p>
        </w:tc>
        <w:tc>
          <w:tcPr>
            <w:tcW w:type="dxa" w:w="606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Thomas Cavil (OrIAntation), Entrepreneur individuel, SIREN 904 625 191, 14 rue Traversière, 56690 Landévant, contact@oriantation.fr</w:t>
            </w:r>
          </w:p>
        </w:tc>
      </w:tr>
      <w:tr>
        <w:tc>
          <w:tcPr>
            <w:tcW w:type="dxa" w:w="357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Date de mise en œuvre</w:t>
            </w:r>
          </w:p>
        </w:tc>
        <w:tc>
          <w:tcPr>
            <w:tcW w:type="dxa" w:w="606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COMPLÉTER]</w:t>
            </w:r>
          </w:p>
        </w:tc>
      </w:tr>
    </w:tbl>
    <w:bookmarkEnd w:id="10"/>
    <w:bookmarkStart w:id="11" w:name="finalités-du-traitement"/>
    <w:p>
      <w:pPr>
        <w:pStyle w:val="Heading2"/>
      </w:pPr>
      <w:r>
        <w:rPr>
          <w:lang w:val="fr-FR"/>
        </w:rPr>
        <w:t xml:space="preserve">2. Finalités du traitement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Construction d’un profil d’orientation personnalisé (questionnaires, centres d’intérêt, spécialités)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Exploration des métiers et des formations (référentiels Onisep, suggestions personnalisées)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Tenue d’un journal de bord d’orientation par l’élève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Suivi académique optionnel (saisie des notes par l’élève, analyses de progression)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Messagerie encadrée entre enseignants et élèves (modération, archivage pour la protection des mineurs)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Préparation des épreuves orales (Grand Oral, épreuve anticipée de français, stage) avec analyse pédagogique optionnelle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Génération optionnelle d’un CV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Préparation par l’enseignant de synthèses individuelles pour le conseil de classe</w:t>
      </w:r>
    </w:p>
    <w:bookmarkEnd w:id="11"/>
    <w:bookmarkStart w:id="12" w:name="base-légale"/>
    <w:p>
      <w:pPr>
        <w:pStyle w:val="Heading2"/>
      </w:pPr>
      <w:r>
        <w:rPr>
          <w:lang w:val="fr-FR"/>
        </w:rPr>
        <w:t xml:space="preserve">3. Base légale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fr-FR"/>
        </w:rPr>
        <w:t xml:space="preserve">Mission d’intérêt public</w:t>
      </w:r>
      <w:r>
        <w:rPr>
          <w:lang w:val="fr-FR"/>
        </w:rPr>
        <w:t xml:space="preserve"> </w:t>
      </w:r>
      <w:r>
        <w:rPr>
          <w:lang w:val="fr-FR"/>
        </w:rPr>
        <w:t xml:space="preserve">(article 6.1.e du RGPD) rattachée à la mission d’orientation du service public de l’éducation, lorsque l’établissement déploie le service.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fr-FR"/>
        </w:rPr>
        <w:t xml:space="preserve">Consentement</w:t>
      </w:r>
      <w:r>
        <w:rPr>
          <w:lang w:val="fr-FR"/>
        </w:rPr>
        <w:t xml:space="preserve"> </w:t>
      </w:r>
      <w:r>
        <w:rPr>
          <w:lang w:val="fr-FR"/>
        </w:rPr>
        <w:t xml:space="preserve">(article 6.1.a), recueilli spécifiquement, pour les fonctionnalités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optionnelles</w:t>
      </w:r>
      <w:r>
        <w:rPr>
          <w:lang w:val="fr-FR"/>
        </w:rPr>
        <w:t xml:space="preserve"> </w:t>
      </w:r>
      <w:r>
        <w:rPr>
          <w:lang w:val="fr-FR"/>
        </w:rPr>
        <w:t xml:space="preserve">: suivi académique, générateur de CV, entraînement aux oraux. Pour les élèves de moins de 15 ans, ce consentement est recueilli auprès d’un titulaire de l’autorité parentale (article 8 du RGPD, article 45 de la loi Informatique et Libertés).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fr-FR"/>
        </w:rPr>
        <w:t xml:space="preserve">Intérêt légitime</w:t>
      </w:r>
      <w:r>
        <w:rPr>
          <w:lang w:val="fr-FR"/>
        </w:rPr>
        <w:t xml:space="preserve"> </w:t>
      </w:r>
      <w:r>
        <w:rPr>
          <w:lang w:val="fr-FR"/>
        </w:rPr>
        <w:t xml:space="preserve">(article 6.1.f) pour la sécurité, la limitation des abus et l’archivage des messages aux fins de protection des mineurs.</w:t>
      </w:r>
    </w:p>
    <w:bookmarkEnd w:id="12"/>
    <w:bookmarkStart w:id="13" w:name="catégories-de-personnes-concernées"/>
    <w:p>
      <w:pPr>
        <w:pStyle w:val="Heading2"/>
      </w:pPr>
      <w:r>
        <w:rPr>
          <w:lang w:val="fr-FR"/>
        </w:rPr>
        <w:t xml:space="preserve">4. Catégories de personnes concernées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Élèves de lycée (Seconde, Première, Terminale),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dont une partie sont mineurs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Enseignants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Chefs d’établissement</w:t>
      </w:r>
    </w:p>
    <w:bookmarkEnd w:id="13"/>
    <w:bookmarkStart w:id="14" w:name="catégories-de-données-traitées"/>
    <w:p>
      <w:pPr>
        <w:pStyle w:val="Heading2"/>
      </w:pPr>
      <w:r>
        <w:rPr>
          <w:lang w:val="fr-FR"/>
        </w:rPr>
        <w:t xml:space="preserve">5. Catégories de données traitées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838"/>
        <w:gridCol w:w="6799"/>
      </w:tblGrid>
      <w:tr>
        <w:trPr>
          <w:tblHeader w:val="on"/>
        </w:trPr>
        <w:tc>
          <w:tcPr>
            <w:shd w:val="clear" w:color="auto" w:fill="0891B2"/>
            <w:tcW w:type="dxa" w:w="2838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Catégorie</w:t>
            </w:r>
          </w:p>
        </w:tc>
        <w:tc>
          <w:tcPr>
            <w:shd w:val="clear" w:color="auto" w:fill="0891B2"/>
            <w:tcW w:type="dxa" w:w="6799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Exemples</w:t>
            </w:r>
          </w:p>
        </w:tc>
      </w:tr>
      <w:tr>
        <w:tc>
          <w:tcPr>
            <w:tcW w:type="dxa" w:w="283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Identification</w:t>
            </w:r>
          </w:p>
        </w:tc>
        <w:tc>
          <w:tcPr>
            <w:tcW w:type="dxa" w:w="6799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Élèves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: prénom et initiale du nom (saisis par l’enseignant, jamais le nom complet), classe, établissement, code d’accès personnel (conservé sous forme de hachage salé, jamais en clair) ; puis, fournis par l’élève à sa première connexion : date de naissance (régime art. 8 : accord parental sous 15 ans), genre, consentement horodaté.</w:t>
            </w:r>
            <w:r>
              <w:rPr>
                <w:lang w:val="fr-FR"/>
              </w:rPr>
              <w:t xml:space="preserve"> </w:t>
            </w:r>
            <w:r>
              <w:rPr>
                <w:b/>
                <w:bCs/>
                <w:lang w:val="fr-FR"/>
              </w:rPr>
              <w:t xml:space="preserve">Adresse email : uniquement si l’élève choisit de l’enregistrer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(facultatif, requis en fin de Terminale pour conserver l’accès au dossier).</w:t>
            </w:r>
            <w:r>
              <w:rPr>
                <w:lang w:val="fr-FR"/>
              </w:rPr>
              <w:t xml:space="preserve"> </w:t>
            </w:r>
            <w:r>
              <w:rPr>
                <w:b/>
                <w:bCs/>
                <w:lang w:val="fr-FR"/>
              </w:rPr>
              <w:t xml:space="preserve">Enseignants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: nom, prénom, adresse académique, genre, établissement, classe</w:t>
            </w:r>
          </w:p>
        </w:tc>
      </w:tr>
      <w:tr>
        <w:tc>
          <w:tcPr>
            <w:tcW w:type="dxa" w:w="283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Profil scolaire</w:t>
            </w:r>
          </w:p>
        </w:tc>
        <w:tc>
          <w:tcPr>
            <w:tcW w:type="dxa" w:w="67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Niveau, voie, spécialités, résultats de questionnaires</w:t>
            </w:r>
          </w:p>
        </w:tc>
      </w:tr>
      <w:tr>
        <w:tc>
          <w:tcPr>
            <w:tcW w:type="dxa" w:w="283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Journal de bord</w:t>
            </w:r>
          </w:p>
        </w:tc>
        <w:tc>
          <w:tcPr>
            <w:tcW w:type="dxa" w:w="67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Pistes métiers/formations explorées, réflexions, portfolio</w:t>
            </w:r>
          </w:p>
        </w:tc>
      </w:tr>
      <w:tr>
        <w:tc>
          <w:tcPr>
            <w:tcW w:type="dxa" w:w="283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Données académiques (optionnel)</w:t>
            </w:r>
          </w:p>
        </w:tc>
        <w:tc>
          <w:tcPr>
            <w:tcW w:type="dxa" w:w="67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Notes par trimestre, analyses de progression</w:t>
            </w:r>
          </w:p>
        </w:tc>
      </w:tr>
      <w:tr>
        <w:tc>
          <w:tcPr>
            <w:tcW w:type="dxa" w:w="283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Messages</w:t>
            </w:r>
          </w:p>
        </w:tc>
        <w:tc>
          <w:tcPr>
            <w:tcW w:type="dxa" w:w="67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Contenu des échanges enseignant↔élève, horodatage</w:t>
            </w:r>
          </w:p>
        </w:tc>
      </w:tr>
      <w:tr>
        <w:tc>
          <w:tcPr>
            <w:tcW w:type="dxa" w:w="283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CV (optionnel)</w:t>
            </w:r>
          </w:p>
        </w:tc>
        <w:tc>
          <w:tcPr>
            <w:tcW w:type="dxa" w:w="67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Téléphone, adresse postale, expériences</w:t>
            </w:r>
          </w:p>
        </w:tc>
      </w:tr>
      <w:tr>
        <w:tc>
          <w:tcPr>
            <w:tcW w:type="dxa" w:w="283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Entraînement aux oraux (optionnel)</w:t>
            </w:r>
          </w:p>
        </w:tc>
        <w:tc>
          <w:tcPr>
            <w:tcW w:type="dxa" w:w="67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Enregistrement audio (non conservé après analyse), transcription</w:t>
            </w:r>
          </w:p>
        </w:tc>
      </w:tr>
      <w:tr>
        <w:tc>
          <w:tcPr>
            <w:tcW w:type="dxa" w:w="283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Données techniques</w:t>
            </w:r>
          </w:p>
        </w:tc>
        <w:tc>
          <w:tcPr>
            <w:tcW w:type="dxa" w:w="679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Adresse IP (anonymisée avant stockage), journaux de connexion</w:t>
            </w:r>
          </w:p>
        </w:tc>
      </w:tr>
    </w:tbl>
    <w:p>
      <w:pPr>
        <w:pStyle w:val="BodyText"/>
      </w:pPr>
      <w:r>
        <w:rPr>
          <w:b/>
          <w:bCs/>
          <w:lang w:val="fr-FR"/>
        </w:rPr>
        <w:t xml:space="preserve">Aucune donnée sensible (article 9)</w:t>
      </w:r>
      <w:r>
        <w:rPr>
          <w:lang w:val="fr-FR"/>
        </w:rPr>
        <w:t xml:space="preserve"> </w:t>
      </w:r>
      <w:r>
        <w:rPr>
          <w:lang w:val="fr-FR"/>
        </w:rPr>
        <w:t xml:space="preserve">n’est traitée. Le genre est collecté aux seules fins d’accord grammatical des textes générés.</w:t>
      </w:r>
    </w:p>
    <w:bookmarkEnd w:id="14"/>
    <w:bookmarkStart w:id="15" w:name="destinataires"/>
    <w:p>
      <w:pPr>
        <w:pStyle w:val="Heading2"/>
      </w:pPr>
      <w:r>
        <w:rPr>
          <w:lang w:val="fr-FR"/>
        </w:rPr>
        <w:t xml:space="preserve">6. Destinataires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L’</w:t>
      </w:r>
      <w:r>
        <w:rPr>
          <w:b/>
          <w:bCs/>
          <w:lang w:val="fr-FR"/>
        </w:rPr>
        <w:t xml:space="preserve">enseignant référent</w:t>
      </w:r>
      <w:r>
        <w:rPr>
          <w:lang w:val="fr-FR"/>
        </w:rPr>
        <w:t xml:space="preserve"> </w:t>
      </w:r>
      <w:r>
        <w:rPr>
          <w:lang w:val="fr-FR"/>
        </w:rPr>
        <w:t xml:space="preserve">: accès en lecture au journal de bord des élèves de sa ou ses classe(s) ; carnet de suivi privé.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Le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chef d’établissement</w:t>
      </w:r>
      <w:r>
        <w:rPr>
          <w:lang w:val="fr-FR"/>
        </w:rPr>
        <w:t xml:space="preserve"> </w:t>
      </w:r>
      <w:r>
        <w:rPr>
          <w:lang w:val="fr-FR"/>
        </w:rPr>
        <w:t xml:space="preserve">: supervision pédagogique (journaux, alertes de modération, statistiques) ;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pas</w:t>
      </w:r>
      <w:r>
        <w:rPr>
          <w:lang w:val="fr-FR"/>
        </w:rPr>
        <w:t xml:space="preserve"> </w:t>
      </w:r>
      <w:r>
        <w:rPr>
          <w:lang w:val="fr-FR"/>
        </w:rPr>
        <w:t xml:space="preserve">d’accès aux notes privées des enseignants.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L’</w:t>
      </w:r>
      <w:r>
        <w:rPr>
          <w:b/>
          <w:bCs/>
          <w:lang w:val="fr-FR"/>
        </w:rPr>
        <w:t xml:space="preserve">éditeur (sous-traitant)</w:t>
      </w:r>
      <w:r>
        <w:rPr>
          <w:lang w:val="fr-FR"/>
        </w:rPr>
        <w:t xml:space="preserve"> </w:t>
      </w:r>
      <w:r>
        <w:rPr>
          <w:lang w:val="fr-FR"/>
        </w:rPr>
        <w:t xml:space="preserve">et ses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sous-traitants ultérieurs</w:t>
      </w:r>
      <w:r>
        <w:rPr>
          <w:lang w:val="fr-FR"/>
        </w:rPr>
        <w:t xml:space="preserve"> </w:t>
      </w:r>
      <w:r>
        <w:rPr>
          <w:lang w:val="fr-FR"/>
        </w:rPr>
        <w:t xml:space="preserve">: Google Cloud (Firebase, Vertex AI, Text-to-Speech, UE), Netlify, Brevo, Resend, Sentry, Vercel (tableau de bord administrateur), et Anthropic (outil de développement, cf. §7). Liste détaillée dans l’accord de sous-traitance.</w:t>
      </w:r>
    </w:p>
    <w:bookmarkEnd w:id="15"/>
    <w:bookmarkStart w:id="16" w:name="transferts-hors-union-européenne"/>
    <w:p>
      <w:pPr>
        <w:pStyle w:val="Heading2"/>
      </w:pPr>
      <w:r>
        <w:rPr>
          <w:lang w:val="fr-FR"/>
        </w:rPr>
        <w:t xml:space="preserve">7. Transferts hors Union européenne</w:t>
      </w:r>
    </w:p>
    <w:p>
      <w:pPr>
        <w:pStyle w:val="FirstParagraph"/>
      </w:pPr>
      <w:r>
        <w:rPr>
          <w:lang w:val="fr-FR"/>
        </w:rPr>
        <w:t xml:space="preserve">Le service opérationnel est hébergé et traité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dans l’Union européenne</w:t>
      </w:r>
      <w:r>
        <w:rPr>
          <w:lang w:val="fr-FR"/>
        </w:rPr>
        <w:t xml:space="preserve">. Le seul transfert hors UE éventuel concerne l’outil de développement et de maintenance (Anthropic, États-Unis), encadré par les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Clauses Contractuelles Types</w:t>
      </w:r>
      <w:r>
        <w:rPr>
          <w:lang w:val="fr-FR"/>
        </w:rPr>
        <w:t xml:space="preserve"> </w:t>
      </w:r>
      <w:r>
        <w:rPr>
          <w:lang w:val="fr-FR"/>
        </w:rPr>
        <w:t xml:space="preserve">(article 46.2.c du RGPD), portant sur des données de débogage ponctuelles et limitées, jamais sur les journaux, notes, CV ou messages des élèves.</w:t>
      </w:r>
    </w:p>
    <w:bookmarkEnd w:id="16"/>
    <w:bookmarkStart w:id="17" w:name="durées-de-conservation"/>
    <w:p>
      <w:pPr>
        <w:pStyle w:val="Heading2"/>
      </w:pPr>
      <w:r>
        <w:rPr>
          <w:lang w:val="fr-FR"/>
        </w:rPr>
        <w:t xml:space="preserve">8. Durées de conservation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3915"/>
        <w:gridCol w:w="5722"/>
      </w:tblGrid>
      <w:tr>
        <w:trPr>
          <w:tblHeader w:val="on"/>
        </w:trPr>
        <w:tc>
          <w:tcPr>
            <w:shd w:val="clear" w:color="auto" w:fill="0891B2"/>
            <w:tcW w:type="dxa" w:w="3915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Donnée</w:t>
            </w:r>
          </w:p>
        </w:tc>
        <w:tc>
          <w:tcPr>
            <w:shd w:val="clear" w:color="auto" w:fill="0891B2"/>
            <w:tcW w:type="dxa" w:w="5722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Durée</w:t>
            </w:r>
          </w:p>
        </w:tc>
      </w:tr>
      <w:tr>
        <w:tc>
          <w:tcPr>
            <w:tcW w:type="dxa" w:w="391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Compte actif</w:t>
            </w:r>
          </w:p>
        </w:tc>
        <w:tc>
          <w:tcPr>
            <w:tcW w:type="dxa" w:w="572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Tant que le compte est actif ; suppression sur demande sous 30 jours</w:t>
            </w:r>
          </w:p>
        </w:tc>
      </w:tr>
      <w:tr>
        <w:tc>
          <w:tcPr>
            <w:tcW w:type="dxa" w:w="391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Compte d’un élève parti/diplômé</w:t>
            </w:r>
          </w:p>
        </w:tc>
        <w:tc>
          <w:tcPr>
            <w:tcW w:type="dxa" w:w="572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Suppression 1 an après le départ (avertissement 30 jours avant)</w:t>
            </w:r>
          </w:p>
        </w:tc>
      </w:tr>
      <w:tr>
        <w:tc>
          <w:tcPr>
            <w:tcW w:type="dxa" w:w="391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Compte d’un enseignant inactif</w:t>
            </w:r>
          </w:p>
        </w:tc>
        <w:tc>
          <w:tcPr>
            <w:tcW w:type="dxa" w:w="572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Suppression après 18 mois d’inactivité (avertissement 30 jours avant)</w:t>
            </w:r>
          </w:p>
        </w:tc>
      </w:tr>
      <w:tr>
        <w:tc>
          <w:tcPr>
            <w:tcW w:type="dxa" w:w="391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Archives de la messagerie sécurisée</w:t>
            </w:r>
          </w:p>
        </w:tc>
        <w:tc>
          <w:tcPr>
            <w:tcW w:type="dxa" w:w="572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3 ans après la suppression du compte</w:t>
            </w:r>
          </w:p>
        </w:tc>
      </w:tr>
      <w:tr>
        <w:tc>
          <w:tcPr>
            <w:tcW w:type="dxa" w:w="391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Journaux d’audit de suppression</w:t>
            </w:r>
          </w:p>
        </w:tc>
        <w:tc>
          <w:tcPr>
            <w:tcW w:type="dxa" w:w="572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3 ans</w:t>
            </w:r>
          </w:p>
        </w:tc>
      </w:tr>
      <w:tr>
        <w:tc>
          <w:tcPr>
            <w:tcW w:type="dxa" w:w="391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Codes de vérification / OTP</w:t>
            </w:r>
          </w:p>
        </w:tc>
        <w:tc>
          <w:tcPr>
            <w:tcW w:type="dxa" w:w="572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Éphémères (quelques minutes à 90 jours)</w:t>
            </w:r>
          </w:p>
        </w:tc>
      </w:tr>
    </w:tbl>
    <w:bookmarkEnd w:id="17"/>
    <w:bookmarkStart w:id="18" w:name="mesures-de-sécurité-principales"/>
    <w:p>
      <w:pPr>
        <w:pStyle w:val="Heading2"/>
      </w:pPr>
      <w:r>
        <w:rPr>
          <w:lang w:val="fr-FR"/>
        </w:rPr>
        <w:t xml:space="preserve">9. Mesures de sécurité principales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Chiffrement des communications (HTTPS/TLS), en-têtes de sécurité stricts (CSP, HSTS)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Contrôle d’accès par règles Firestore (cloisonnement par établissement, classe et rôle)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Modération automatique de la messagerie (filtrage + IA), alertes au chef d’établissement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Double authentification (TOTP) pour les accès administrateur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Purges automatiques planifiées (suppression des comptes, archives, journaux à échéance)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Anonymisation de l’adresse IP avant stockage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Protection contre les injections (XSS) et journalisation des accès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fr-FR"/>
        </w:rPr>
        <w:t xml:space="preserve">Fiche à valider et compléter par l’établissement, puis à conserver dans son registre des activités de traitement (article 30 du RGPD).</w:t>
      </w:r>
    </w:p>
    <w:bookmarkEnd w:id="18"/>
    <w:bookmarkEnd w:id="19"/>
    <w:sectPr>
      <w:footnotePr>
        <w:numRestart w:val="eachSect"/>
      </w:footnotePr>
      <w:pgSz w:w="11906" w:h="16838"/>
      <w:pgMar w:top="1440" w:right="1134" w:bottom="1440" w:left="1134" w:header="720" w:footer="72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fr-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pBdr>
        <w:bottom w:color="0891B2" w:space="4" w:sz="18" w:val="single"/>
      </w:pBdr>
      <w:keepNext/>
      <w:keepLines/>
      <w:spacing w:after="80" w:before="360"/>
      <w:outlineLvl w:val="0"/>
    </w:pPr>
    <w:rPr>
      <w:b/>
      <w:color w:val="1A3263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pBdr>
        <w:bottom w:color="0891B2" w:space="2" w:sz="8" w:val="single"/>
      </w:pBdr>
      <w:keepNext/>
      <w:keepLines/>
      <w:spacing w:after="80" w:before="160"/>
      <w:outlineLvl w:val="1"/>
    </w:pPr>
    <w:rPr>
      <w:b/>
      <w:color w:val="0891B2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b/>
      <w:color w:val="0891B2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b/>
      <w:color w:val="334155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fr-FR</dc:language>
  <cp:keywords/>
  <dcterms:created xsi:type="dcterms:W3CDTF">2026-09-05T10:40:30Z</dcterms:created>
  <dcterms:modified xsi:type="dcterms:W3CDTF">2026-09-05T10:40:30Z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