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abe5f6d600cbb4aa21d3b077661ade8052ab41b"/>
    <w:p>
      <w:pPr>
        <w:pStyle w:val="Heading1"/>
      </w:pPr>
      <w:r>
        <w:rPr>
          <w:lang w:val="fr-FR"/>
        </w:rPr>
        <w:t xml:space="preserve">Analyse d’Impact relative à la Protection des Données (AIPD)</w:t>
      </w:r>
    </w:p>
    <w:bookmarkStart w:id="9" w:name="Xaa5632dc1b2f723f2393ae8a595855e2812d7a8"/>
    <w:p>
      <w:pPr>
        <w:pStyle w:val="Heading2"/>
      </w:pPr>
      <w:r>
        <w:rPr>
          <w:lang w:val="fr-FR"/>
        </w:rPr>
        <w:t xml:space="preserve">Modèle pré-rempli pour les établissements scolaires</w:t>
      </w:r>
    </w:p>
    <w:p>
      <w:pPr>
        <w:pStyle w:val="FirstParagraph"/>
      </w:pPr>
      <w:r>
        <w:rPr>
          <w:b/>
          <w:bCs/>
          <w:lang w:val="fr-FR"/>
        </w:rPr>
        <w:t xml:space="preserve">Service concerné :</w:t>
      </w:r>
      <w:r>
        <w:rPr>
          <w:lang w:val="fr-FR"/>
        </w:rPr>
        <w:t xml:space="preserve"> </w:t>
      </w:r>
      <w:r>
        <w:rPr>
          <w:lang w:val="fr-FR"/>
        </w:rPr>
        <w:t xml:space="preserve">OrIAntation - Application d’aide à l’orientation scolaire avec IA</w:t>
      </w:r>
    </w:p>
    <w:p>
      <w:pPr>
        <w:pStyle w:val="BodyText"/>
      </w:pPr>
      <w:r>
        <w:rPr>
          <w:b/>
          <w:bCs/>
          <w:lang w:val="fr-FR"/>
        </w:rPr>
        <w:t xml:space="preserve">Version du modèle :</w:t>
      </w:r>
      <w:r>
        <w:rPr>
          <w:lang w:val="fr-FR"/>
        </w:rPr>
        <w:t xml:space="preserve"> </w:t>
      </w:r>
      <w:r>
        <w:rPr>
          <w:lang w:val="fr-FR"/>
        </w:rPr>
        <w:t xml:space="preserve">1.2 - 4 septembre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  <w:lang w:val="fr-FR"/>
        </w:rPr>
        <w:t xml:space="preserve">Note importante</w:t>
      </w:r>
    </w:p>
    <w:p>
      <w:pPr>
        <w:pStyle w:val="BlockText"/>
      </w:pPr>
      <w:r>
        <w:rPr>
          <w:lang w:val="fr-FR"/>
        </w:rPr>
        <w:t xml:space="preserve">Ce document est un modèle pré-rempli fourni par l’éditeur OrIAntation pour faciliter la réalisation de l’AIPD par les établissements scolaires.</w:t>
      </w:r>
    </w:p>
    <w:p>
      <w:pPr>
        <w:pStyle w:val="BlockText"/>
      </w:pPr>
      <w:r>
        <w:rPr>
          <w:b/>
          <w:bCs/>
          <w:lang w:val="fr-FR"/>
        </w:rPr>
        <w:t xml:space="preserve">L’établissement reste responsable de traitement</w:t>
      </w:r>
      <w:r>
        <w:rPr>
          <w:lang w:val="fr-FR"/>
        </w:rPr>
        <w:t xml:space="preserve"> </w:t>
      </w:r>
      <w:r>
        <w:rPr>
          <w:lang w:val="fr-FR"/>
        </w:rPr>
        <w:t xml:space="preserve">et doit adapter ce document à son contexte spécifique, le valider avec son DPO académique, et l’inscrire à son registre des activités de traitement.</w:t>
      </w:r>
    </w:p>
    <w:p>
      <w:pPr>
        <w:pStyle w:val="BlockText"/>
      </w:pPr>
      <w:r>
        <w:rPr>
          <w:lang w:val="fr-FR"/>
        </w:rPr>
        <w:t xml:space="preserve">Les sections marquées [À COMPLÉTER PAR L’ÉTABLISSEMENT] nécessitent une saisie obligatoire.</w:t>
      </w:r>
    </w:p>
    <w:p>
      <w:r>
        <w:pict>
          <v:rect style="width:0;height:1.5pt" o:hralign="center" o:hrstd="t" o:hr="t"/>
        </w:pict>
      </w:r>
    </w:p>
    <w:bookmarkEnd w:id="9"/>
    <w:bookmarkStart w:id="10" w:name="informations-de-létablissement"/>
    <w:p>
      <w:pPr>
        <w:pStyle w:val="Heading2"/>
      </w:pPr>
      <w:r>
        <w:rPr>
          <w:lang w:val="fr-FR"/>
        </w:rPr>
        <w:t xml:space="preserve">Informations de l’établissement</w:t>
      </w:r>
    </w:p>
    <w:p>
      <w:pPr>
        <w:pStyle w:val="FirstParagraph"/>
      </w:pPr>
      <w:r>
        <w:rPr>
          <w:b/>
          <w:bCs/>
          <w:lang w:val="fr-FR"/>
        </w:rPr>
        <w:t xml:space="preserve">Nom de l’établissement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Code UAI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Adresse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Responsable de traitement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 - Chef d’établissement]</w:t>
      </w:r>
    </w:p>
    <w:p>
      <w:pPr>
        <w:pStyle w:val="BodyText"/>
      </w:pPr>
      <w:r>
        <w:rPr>
          <w:b/>
          <w:bCs/>
          <w:lang w:val="fr-FR"/>
        </w:rPr>
        <w:t xml:space="preserve">DPO académique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Email DPO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Date de réalisation de l’AIPD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Date de mise en production prévue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r>
        <w:pict>
          <v:rect style="width:0;height:1.5pt" o:hralign="center" o:hrstd="t" o:hr="t"/>
        </w:pict>
      </w:r>
    </w:p>
    <w:bookmarkEnd w:id="10"/>
    <w:bookmarkStart w:id="16" w:name="description-du-traitement"/>
    <w:p>
      <w:pPr>
        <w:pStyle w:val="Heading2"/>
      </w:pPr>
      <w:r>
        <w:rPr>
          <w:lang w:val="fr-FR"/>
        </w:rPr>
        <w:t xml:space="preserve">1. Description du traitement</w:t>
      </w:r>
    </w:p>
    <w:bookmarkStart w:id="11" w:name="nature-du-traitement"/>
    <w:p>
      <w:pPr>
        <w:pStyle w:val="Heading3"/>
      </w:pPr>
      <w:r>
        <w:rPr>
          <w:lang w:val="fr-FR"/>
        </w:rPr>
        <w:t xml:space="preserve">1.1 Nature du traitement</w:t>
      </w:r>
    </w:p>
    <w:p>
      <w:pPr>
        <w:pStyle w:val="FirstParagraph"/>
      </w:pPr>
      <w:r>
        <w:rPr>
          <w:lang w:val="fr-FR"/>
        </w:rPr>
        <w:t xml:space="preserve">OrIAntation est une application web d’aide à l’orientation scolaire utilisant l’intelligence artificielle. Elle permet aux élèves de :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Réaliser un test de personnalité et générer un profil d’orientation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Tenir un journal de bord numérique de leur réflexion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Explorer 1 000+ métiers et 30 000+ formations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Interagir avec un chatbot IA disponible 24h/24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Créer un CV professionnel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Planifier leur parcours Parcoursup</w:t>
      </w:r>
    </w:p>
    <w:p>
      <w:pPr>
        <w:pStyle w:val="FirstParagraph"/>
      </w:pPr>
      <w:r>
        <w:rPr>
          <w:lang w:val="fr-FR"/>
        </w:rPr>
        <w:t xml:space="preserve">Les enseignants peuvent :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Suivre la progression de leurs élèves via un tableau de bord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Communiquer avec les élèves via une messagerie sécurisée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Annoter les journaux de bord (carnet de suivi privé)</w:t>
      </w:r>
    </w:p>
    <w:bookmarkEnd w:id="11"/>
    <w:bookmarkStart w:id="12" w:name="finalités-du-traitement"/>
    <w:p>
      <w:pPr>
        <w:pStyle w:val="Heading3"/>
      </w:pPr>
      <w:r>
        <w:rPr>
          <w:lang w:val="fr-FR"/>
        </w:rPr>
        <w:t xml:space="preserve">1.2 Finalités du traitement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>
            <w:shd w:val="clear" w:color="auto" w:fill="0891B2"/>
            <w:tcW w:type="dxa" w:w="4819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Finalité</w:t>
            </w:r>
          </w:p>
        </w:tc>
        <w:tc>
          <w:tcPr>
            <w:shd w:val="clear" w:color="auto" w:fill="0891B2"/>
            <w:tcW w:type="dxa" w:w="4819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Base légale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Accompagnement personnalisé à l’orientation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Exécution mission d’intérêt public (Parcours Avenir)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Suivi pédagogique par les enseignants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Exécution mission d’intérêt public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Communication enseignants-élèves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Intérêt légitime (protection des mineurs)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Génération de recommandations par IA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Suivi académique (notes)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 spécifique</w:t>
            </w:r>
          </w:p>
        </w:tc>
      </w:tr>
      <w:tr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Génération de CV</w:t>
            </w:r>
          </w:p>
        </w:tc>
        <w:tc>
          <w:tcPr>
            <w:tcW w:type="dxa" w:w="4819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 spécifique</w:t>
            </w:r>
          </w:p>
        </w:tc>
      </w:tr>
    </w:tbl>
    <w:bookmarkEnd w:id="12"/>
    <w:bookmarkStart w:id="13" w:name="personnes-concernées"/>
    <w:p>
      <w:pPr>
        <w:pStyle w:val="Heading3"/>
      </w:pPr>
      <w:r>
        <w:rPr>
          <w:lang w:val="fr-FR"/>
        </w:rPr>
        <w:t xml:space="preserve">1.3 Personnes concernées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4257"/>
        <w:gridCol w:w="5380"/>
      </w:tblGrid>
      <w:tr>
        <w:trPr>
          <w:tblHeader w:val="on"/>
        </w:trPr>
        <w:tc>
          <w:tcPr>
            <w:shd w:val="clear" w:color="auto" w:fill="0891B2"/>
            <w:tcW w:type="dxa" w:w="4257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Catégorie</w:t>
            </w:r>
          </w:p>
        </w:tc>
        <w:tc>
          <w:tcPr>
            <w:shd w:val="clear" w:color="auto" w:fill="0891B2"/>
            <w:tcW w:type="dxa" w:w="5380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Estimation</w:t>
            </w:r>
          </w:p>
        </w:tc>
      </w:tr>
      <w:tr>
        <w:tc>
          <w:tcPr>
            <w:tcW w:type="dxa" w:w="42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Élèves (majoritairement mineurs 15-18 ans)</w:t>
            </w:r>
          </w:p>
        </w:tc>
        <w:tc>
          <w:tcPr>
            <w:tcW w:type="dxa" w:w="538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PAR L’ÉTABLISSEMENT]</w:t>
            </w:r>
          </w:p>
        </w:tc>
      </w:tr>
      <w:tr>
        <w:tc>
          <w:tcPr>
            <w:tcW w:type="dxa" w:w="42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Enseignants</w:t>
            </w:r>
          </w:p>
        </w:tc>
        <w:tc>
          <w:tcPr>
            <w:tcW w:type="dxa" w:w="538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PAR L’ÉTABLISSEMENT]</w:t>
            </w:r>
          </w:p>
        </w:tc>
      </w:tr>
      <w:tr>
        <w:tc>
          <w:tcPr>
            <w:tcW w:type="dxa" w:w="42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Personnel de direction</w:t>
            </w:r>
          </w:p>
        </w:tc>
        <w:tc>
          <w:tcPr>
            <w:tcW w:type="dxa" w:w="538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[À COMPLÉTER PAR L’ÉTABLISSEMENT]</w:t>
            </w:r>
          </w:p>
        </w:tc>
      </w:tr>
    </w:tbl>
    <w:bookmarkEnd w:id="13"/>
    <w:bookmarkStart w:id="14" w:name="catégories-de-données-collectées"/>
    <w:p>
      <w:pPr>
        <w:pStyle w:val="Heading3"/>
      </w:pPr>
      <w:r>
        <w:rPr>
          <w:lang w:val="fr-FR"/>
        </w:rPr>
        <w:t xml:space="preserve">1.4 Catégories de données collectées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212"/>
        <w:gridCol w:w="5086"/>
        <w:gridCol w:w="2340"/>
      </w:tblGrid>
      <w:tr>
        <w:trPr>
          <w:tblHeader w:val="on"/>
        </w:trPr>
        <w:tc>
          <w:tcPr>
            <w:shd w:val="clear" w:color="auto" w:fill="0891B2"/>
            <w:tcW w:type="dxa" w:w="221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Catégorie</w:t>
            </w:r>
          </w:p>
        </w:tc>
        <w:tc>
          <w:tcPr>
            <w:shd w:val="clear" w:color="auto" w:fill="0891B2"/>
            <w:tcW w:type="dxa" w:w="5086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Données</w:t>
            </w:r>
          </w:p>
        </w:tc>
        <w:tc>
          <w:tcPr>
            <w:shd w:val="clear" w:color="auto" w:fill="0891B2"/>
            <w:tcW w:type="dxa" w:w="2340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Sensibilité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Identification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Élèves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prénom et initiale du nom (saisis par l’enseignant, jamais le nom complet), classe, établissement, code d’accès personnel (conservé sous forme de hachage salé, jamais en clair) ; puis, fournis par l’élève à sa première connexion : date de naissance (régime art. 8 : accord parental sous 15 ans), genre, consentement horodaté.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Adresse email : uniquement si l’élève choisit de l’enregistrer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(facultatif, requis en fin de Terminale pour conserver l’accès au dossier).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Enseignants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nom, prénom, adresse académique, genre, établissement, classe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Standard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Profil orientation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Réponses questionnaires, centres d’intérêt, spécialités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Standard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Journal de bord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 personnelles, réflexions, objectifs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Potentiellement sensible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Données académiques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(optionnel)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 par matière et trimestre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Standard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Messages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Échanges enseignants-élèves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Potentiellement sensible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Données CV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(optionnel)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Téléphone, adresse postale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Standard</w:t>
            </w:r>
          </w:p>
        </w:tc>
      </w:tr>
      <w:tr>
        <w:tc>
          <w:tcPr>
            <w:tcW w:type="dxa" w:w="221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Logs techniques</w:t>
            </w:r>
          </w:p>
        </w:tc>
        <w:tc>
          <w:tcPr>
            <w:tcW w:type="dxa" w:w="508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IP, horodatage connexion</w:t>
            </w:r>
          </w:p>
        </w:tc>
        <w:tc>
          <w:tcPr>
            <w:tcW w:type="dxa" w:w="234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Standard</w:t>
            </w:r>
          </w:p>
        </w:tc>
      </w:tr>
    </w:tbl>
    <w:bookmarkEnd w:id="14"/>
    <w:bookmarkStart w:id="15" w:name="durées-de-conservation"/>
    <w:p>
      <w:pPr>
        <w:pStyle w:val="Heading3"/>
      </w:pPr>
      <w:r>
        <w:rPr>
          <w:lang w:val="fr-FR"/>
        </w:rPr>
        <w:t xml:space="preserve">1.5 Durées de conservation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4904"/>
        <w:gridCol w:w="4733"/>
      </w:tblGrid>
      <w:tr>
        <w:trPr>
          <w:tblHeader w:val="on"/>
        </w:trPr>
        <w:tc>
          <w:tcPr>
            <w:shd w:val="clear" w:color="auto" w:fill="0891B2"/>
            <w:tcW w:type="dxa" w:w="4904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Type de données</w:t>
            </w:r>
          </w:p>
        </w:tc>
        <w:tc>
          <w:tcPr>
            <w:shd w:val="clear" w:color="auto" w:fill="0891B2"/>
            <w:tcW w:type="dxa" w:w="4733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Durée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élèves actifs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Durée de la scolarité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après départ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 an puis suppression automatique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Archives messages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 après la suppression du compte (protection des mineurs)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enseignants inactifs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18 mois puis avertissement + 60 jours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Journaux d’audit de suppression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</w:t>
            </w:r>
          </w:p>
        </w:tc>
      </w:tr>
      <w:tr>
        <w:tc>
          <w:tcPr>
            <w:tcW w:type="dxa" w:w="490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Journaux techniques (métadonnées d’appels IA, exécutions planifiées)</w:t>
            </w:r>
          </w:p>
        </w:tc>
        <w:tc>
          <w:tcPr>
            <w:tcW w:type="dxa" w:w="473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6 à 12 mois (purge automatique)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End w:id="16"/>
    <w:bookmarkStart w:id="20" w:name="sous-traitant-et-flux-de-données"/>
    <w:p>
      <w:pPr>
        <w:pStyle w:val="Heading2"/>
      </w:pPr>
      <w:r>
        <w:rPr>
          <w:lang w:val="fr-FR"/>
        </w:rPr>
        <w:t xml:space="preserve">2. Sous-traitant et flux de données</w:t>
      </w:r>
    </w:p>
    <w:bookmarkStart w:id="17" w:name="sous-traitant-principal"/>
    <w:p>
      <w:pPr>
        <w:pStyle w:val="Heading3"/>
      </w:pPr>
      <w:r>
        <w:rPr>
          <w:lang w:val="fr-FR"/>
        </w:rPr>
        <w:t xml:space="preserve">2.1 Sous-traitant principal</w:t>
      </w:r>
    </w:p>
    <w:p>
      <w:pPr>
        <w:pStyle w:val="FirstParagraph"/>
      </w:pPr>
      <w:r>
        <w:rPr>
          <w:b/>
          <w:bCs/>
          <w:lang w:val="fr-FR"/>
        </w:rPr>
        <w:t xml:space="preserve">Éditeur :</w:t>
      </w:r>
      <w:r>
        <w:rPr>
          <w:lang w:val="fr-FR"/>
        </w:rPr>
        <w:t xml:space="preserve"> </w:t>
      </w:r>
      <w:r>
        <w:rPr>
          <w:lang w:val="fr-FR"/>
        </w:rPr>
        <w:t xml:space="preserve">Thomas Cavil</w:t>
      </w:r>
    </w:p>
    <w:p>
      <w:pPr>
        <w:pStyle w:val="BodyText"/>
      </w:pPr>
      <w:r>
        <w:rPr>
          <w:b/>
          <w:bCs/>
          <w:lang w:val="fr-FR"/>
        </w:rPr>
        <w:t xml:space="preserve">Contact :</w:t>
      </w:r>
      <w:r>
        <w:rPr>
          <w:lang w:val="fr-FR"/>
        </w:rPr>
        <w:t xml:space="preserve"> </w:t>
      </w:r>
      <w:r>
        <w:rPr>
          <w:lang w:val="fr-FR"/>
        </w:rPr>
        <w:t xml:space="preserve">contact@oriantation.fr</w:t>
      </w:r>
    </w:p>
    <w:p>
      <w:pPr>
        <w:pStyle w:val="BodyText"/>
      </w:pPr>
      <w:r>
        <w:rPr>
          <w:b/>
          <w:bCs/>
          <w:lang w:val="fr-FR"/>
        </w:rPr>
        <w:t xml:space="preserve">Accord de sous-traitance :</w:t>
      </w:r>
      <w:r>
        <w:rPr>
          <w:lang w:val="fr-FR"/>
        </w:rPr>
        <w:t xml:space="preserve"> </w:t>
      </w:r>
      <w:r>
        <w:rPr>
          <w:lang w:val="fr-FR"/>
        </w:rPr>
        <w:t xml:space="preserve">Signé conformément à l’article 28 du RGPD</w:t>
      </w:r>
    </w:p>
    <w:bookmarkEnd w:id="17"/>
    <w:bookmarkStart w:id="18" w:name="sous-traitants-ultérieurs"/>
    <w:p>
      <w:pPr>
        <w:pStyle w:val="Heading3"/>
      </w:pPr>
      <w:r>
        <w:rPr>
          <w:lang w:val="fr-FR"/>
        </w:rPr>
        <w:t xml:space="preserve">2.2 Sous-traitants ultérieurs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211"/>
        <w:gridCol w:w="2473"/>
        <w:gridCol w:w="2595"/>
        <w:gridCol w:w="2356"/>
      </w:tblGrid>
      <w:tr>
        <w:trPr>
          <w:tblHeader w:val="on"/>
        </w:trPr>
        <w:tc>
          <w:tcPr>
            <w:shd w:val="clear" w:color="auto" w:fill="0891B2"/>
            <w:tcW w:type="dxa" w:w="2211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Prestataire</w:t>
            </w:r>
          </w:p>
        </w:tc>
        <w:tc>
          <w:tcPr>
            <w:shd w:val="clear" w:color="auto" w:fill="0891B2"/>
            <w:tcW w:type="dxa" w:w="2473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Fonction</w:t>
            </w:r>
          </w:p>
        </w:tc>
        <w:tc>
          <w:tcPr>
            <w:shd w:val="clear" w:color="auto" w:fill="0891B2"/>
            <w:tcW w:type="dxa" w:w="259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Localisation</w:t>
            </w:r>
          </w:p>
        </w:tc>
        <w:tc>
          <w:tcPr>
            <w:shd w:val="clear" w:color="auto" w:fill="0891B2"/>
            <w:tcW w:type="dxa" w:w="2356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Garanties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Firebase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Base de données, authentification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europe-west1 (Belgique)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Google Cloud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Vertex AI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IA générative (Gemini)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europe-west1 (Belgique)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Pas d’entraînement sur données utilisateurs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Cloud Text-to-Speech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Synthèse vocale (entraînement aux oraux)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Endpoint européen (eu-texttospeech)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Google Cloud ; ne reçoit que le texte à vocaliser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Netlify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Hébergement frontend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CDN européen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Netlify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Brevo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Emails transactionnels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France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Entreprise française, RGPD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Resend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Codes administrateur (OTP) et réponses support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Selon DPA Resend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Resend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Sentry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Supervision des erreurs applicatives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Francfort (Allemagne)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Sentry, IP anonymisée, SOC 2 Type II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Vercel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Tableau de bord administrateur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Francfort (fra1, Allemagne)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Vercel ; consultation par administrateurs autorisés, aucun stockage persistant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Anthropic (Claude Code)</w:t>
            </w:r>
          </w:p>
        </w:tc>
        <w:tc>
          <w:tcPr>
            <w:tcW w:type="dxa" w:w="247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Outil de développement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États-Unis</w:t>
            </w:r>
          </w:p>
        </w:tc>
        <w:tc>
          <w:tcPr>
            <w:tcW w:type="dxa" w:w="2356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Clauses Contractuelles Types (art. 46.2.c), pas d’entraînement</w:t>
            </w:r>
          </w:p>
        </w:tc>
      </w:tr>
    </w:tbl>
    <w:p>
      <w:pPr>
        <w:pStyle w:val="BodyText"/>
      </w:pPr>
      <w:r>
        <w:rPr>
          <w:b/>
          <w:bCs/>
          <w:lang w:val="fr-FR"/>
        </w:rPr>
        <w:t xml:space="preserve">Précision sur la voix des élèves</w:t>
      </w:r>
      <w:r>
        <w:rPr>
          <w:lang w:val="fr-FR"/>
        </w:rPr>
        <w:t xml:space="preserve"> </w:t>
      </w:r>
      <w:r>
        <w:rPr>
          <w:lang w:val="fr-FR"/>
        </w:rPr>
        <w:t xml:space="preserve">: la dictée vocale des formulaires est traitée localement sur l’appareil ; en revanche, la fonctionnalité optionnelle d’</w:t>
      </w:r>
      <w:r>
        <w:rPr>
          <w:b/>
          <w:bCs/>
          <w:lang w:val="fr-FR"/>
        </w:rPr>
        <w:t xml:space="preserve">entraînement aux oraux</w:t>
      </w:r>
      <w:r>
        <w:rPr>
          <w:lang w:val="fr-FR"/>
        </w:rPr>
        <w:t xml:space="preserve"> </w:t>
      </w:r>
      <w:r>
        <w:rPr>
          <w:lang w:val="fr-FR"/>
        </w:rPr>
        <w:t xml:space="preserve">(Grand Oral, EAF, stage), déclenchée uniquement par l’élève,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transmet l’enregistrement audio</w:t>
      </w:r>
      <w:r>
        <w:rPr>
          <w:lang w:val="fr-FR"/>
        </w:rPr>
        <w:t xml:space="preserve"> </w:t>
      </w:r>
      <w:r>
        <w:rPr>
          <w:lang w:val="fr-FR"/>
        </w:rPr>
        <w:t xml:space="preserve">à Vertex AI (europe-west1, UE) pour produire l’analyse pédagogique : sans conservation de l’audio après analyse ni entraînement du modèle ; seule la transcription est enregistrée dans le journal de bord de l’élève.</w:t>
      </w:r>
    </w:p>
    <w:bookmarkEnd w:id="18"/>
    <w:bookmarkStart w:id="19" w:name="flux-de-données"/>
    <w:p>
      <w:pPr>
        <w:pStyle w:val="Heading3"/>
      </w:pPr>
      <w:r>
        <w:rPr>
          <w:lang w:val="fr-FR"/>
        </w:rPr>
        <w:t xml:space="preserve">2.3 Flux de données</w:t>
      </w:r>
    </w:p>
    <w:p>
      <w:pPr>
        <w:pStyle w:val="SourceCode"/>
      </w:pPr>
      <w:r>
        <w:rPr>
          <w:rStyle w:val="VerbatimChar"/>
          <w:lang w:val="fr-FR"/>
        </w:rPr>
        <w:t xml:space="preserve">Élève/Enseignant</w:t>
      </w:r>
      <w:r>
        <w:br/>
      </w:r>
      <w:r>
        <w:rPr>
          <w:rStyle w:val="VerbatimChar"/>
          <w:lang w:val="fr-FR"/>
        </w:rPr>
        <w:t xml:space="preserve">      ↓</w:t>
      </w:r>
      <w:r>
        <w:br/>
      </w:r>
      <w:r>
        <w:rPr>
          <w:rStyle w:val="VerbatimChar"/>
          <w:lang w:val="fr-FR"/>
        </w:rPr>
        <w:t xml:space="preserve">  Navigateur (HTTPS)</w:t>
      </w:r>
      <w:r>
        <w:br/>
      </w:r>
      <w:r>
        <w:rPr>
          <w:rStyle w:val="VerbatimChar"/>
          <w:lang w:val="fr-FR"/>
        </w:rPr>
        <w:t xml:space="preserve">      ↓</w:t>
      </w:r>
      <w:r>
        <w:br/>
      </w:r>
      <w:r>
        <w:rPr>
          <w:rStyle w:val="VerbatimChar"/>
          <w:lang w:val="fr-FR"/>
        </w:rPr>
        <w:t xml:space="preserve">  Netlify (France/UE) - Frontend</w:t>
      </w:r>
      <w:r>
        <w:br/>
      </w:r>
      <w:r>
        <w:rPr>
          <w:rStyle w:val="VerbatimChar"/>
          <w:lang w:val="fr-FR"/>
        </w:rPr>
        <w:t xml:space="preserve">      ↓</w:t>
      </w:r>
      <w:r>
        <w:br/>
      </w:r>
      <w:r>
        <w:rPr>
          <w:rStyle w:val="VerbatimChar"/>
          <w:lang w:val="fr-FR"/>
        </w:rPr>
        <w:t xml:space="preserve">  Firebase Auth (europe-west1, Belgique)</w:t>
      </w:r>
      <w:r>
        <w:br/>
      </w:r>
      <w:r>
        <w:rPr>
          <w:rStyle w:val="VerbatimChar"/>
          <w:lang w:val="fr-FR"/>
        </w:rPr>
        <w:t xml:space="preserve">      ↓</w:t>
      </w:r>
      <w:r>
        <w:br/>
      </w:r>
      <w:r>
        <w:rPr>
          <w:rStyle w:val="VerbatimChar"/>
          <w:lang w:val="fr-FR"/>
        </w:rPr>
        <w:t xml:space="preserve">  Cloud Functions (europe-west3, Francfort)</w:t>
      </w:r>
      <w:r>
        <w:br/>
      </w:r>
      <w:r>
        <w:rPr>
          <w:rStyle w:val="VerbatimChar"/>
          <w:lang w:val="fr-FR"/>
        </w:rPr>
        <w:t xml:space="preserve">      ↓</w:t>
      </w:r>
      <w:r>
        <w:br/>
      </w:r>
      <w:r>
        <w:rPr>
          <w:rStyle w:val="VerbatimChar"/>
          <w:lang w:val="fr-FR"/>
        </w:rPr>
        <w:t xml:space="preserve">  Firestore (eur3, Francfort) ←→ Vertex AI (europe-west1, Belgique)</w:t>
      </w:r>
    </w:p>
    <w:p>
      <w:pPr>
        <w:pStyle w:val="FirstParagraph"/>
      </w:pPr>
      <w:r>
        <w:rPr>
          <w:b/>
          <w:bCs/>
          <w:lang w:val="fr-FR"/>
        </w:rPr>
        <w:t xml:space="preserve">Garantie :</w:t>
      </w:r>
      <w:r>
        <w:rPr>
          <w:lang w:val="fr-FR"/>
        </w:rPr>
        <w:t xml:space="preserve"> </w:t>
      </w:r>
      <w:r>
        <w:rPr>
          <w:lang w:val="fr-FR"/>
        </w:rPr>
        <w:t xml:space="preserve">L’ensemble du service opérationnel est hébergé et traité au sein de l’Union Européenne. Le seul transfert hors UE éventuel concerne l’outil de développement (Anthropic, États-Unis), encadré par les Clauses Contractuelles Types (art. 46.2.c RGPD) et limité à des données ponctuelles de débogage.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analyse-des-risques"/>
    <w:p>
      <w:pPr>
        <w:pStyle w:val="Heading2"/>
      </w:pPr>
      <w:r>
        <w:rPr>
          <w:lang w:val="fr-FR"/>
        </w:rPr>
        <w:t xml:space="preserve">3. Analyse des risques</w:t>
      </w:r>
    </w:p>
    <w:bookmarkStart w:id="21" w:name="contexte-spécifique-ia-et-mineurs"/>
    <w:p>
      <w:pPr>
        <w:pStyle w:val="Heading3"/>
      </w:pPr>
      <w:r>
        <w:rPr>
          <w:lang w:val="fr-FR"/>
        </w:rPr>
        <w:t xml:space="preserve">3.1 Contexte spécifique : IA et mineurs</w:t>
      </w:r>
    </w:p>
    <w:p>
      <w:pPr>
        <w:pStyle w:val="FirstParagraph"/>
      </w:pPr>
      <w:r>
        <w:rPr>
          <w:lang w:val="fr-FR"/>
        </w:rPr>
        <w:t xml:space="preserve">Le traitement utilise l’intelligence artificielle dans un contexte éducatif avec des personnes majoritairement mineures. Ce contexte implique 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fr-FR"/>
        </w:rPr>
        <w:t xml:space="preserve">Règlement IA (AI Act)</w:t>
      </w:r>
      <w:r>
        <w:rPr>
          <w:lang w:val="fr-FR"/>
        </w:rPr>
        <w:t xml:space="preserve"> </w:t>
      </w:r>
      <w:r>
        <w:rPr>
          <w:lang w:val="fr-FR"/>
        </w:rPr>
        <w:t xml:space="preserve">: Système à risque élevé (article 6, annexe III - éducation et formation professionnelle)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fr-FR"/>
        </w:rPr>
        <w:t xml:space="preserve">RGPD</w:t>
      </w:r>
      <w:r>
        <w:rPr>
          <w:lang w:val="fr-FR"/>
        </w:rPr>
        <w:t xml:space="preserve"> </w:t>
      </w:r>
      <w:r>
        <w:rPr>
          <w:lang w:val="fr-FR"/>
        </w:rPr>
        <w:t xml:space="preserve">: Données de mineurs nécessitant protection renforcée (article 8)</w:t>
      </w:r>
    </w:p>
    <w:bookmarkEnd w:id="21"/>
    <w:bookmarkStart w:id="22" w:name="matrice-des-risques"/>
    <w:p>
      <w:pPr>
        <w:pStyle w:val="Heading3"/>
      </w:pPr>
      <w:r>
        <w:rPr>
          <w:lang w:val="fr-FR"/>
        </w:rPr>
        <w:t xml:space="preserve">3.2 Matrice des risques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1724"/>
        <w:gridCol w:w="1117"/>
        <w:gridCol w:w="1724"/>
        <w:gridCol w:w="1623"/>
        <w:gridCol w:w="1825"/>
        <w:gridCol w:w="1623"/>
      </w:tblGrid>
      <w:tr>
        <w:trPr>
          <w:tblHeader w:val="on"/>
        </w:trPr>
        <w:tc>
          <w:tcPr>
            <w:shd w:val="clear" w:color="auto" w:fill="0891B2"/>
            <w:tcW w:type="dxa" w:w="1724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Risque</w:t>
            </w:r>
          </w:p>
        </w:tc>
        <w:tc>
          <w:tcPr>
            <w:shd w:val="clear" w:color="auto" w:fill="0891B2"/>
            <w:tcW w:type="dxa" w:w="1117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Gravité</w:t>
            </w:r>
          </w:p>
        </w:tc>
        <w:tc>
          <w:tcPr>
            <w:shd w:val="clear" w:color="auto" w:fill="0891B2"/>
            <w:tcW w:type="dxa" w:w="1724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Vraisemblance</w:t>
            </w:r>
          </w:p>
        </w:tc>
        <w:tc>
          <w:tcPr>
            <w:shd w:val="clear" w:color="auto" w:fill="0891B2"/>
            <w:tcW w:type="dxa" w:w="1623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Niveau initial</w:t>
            </w:r>
          </w:p>
        </w:tc>
        <w:tc>
          <w:tcPr>
            <w:shd w:val="clear" w:color="auto" w:fill="0891B2"/>
            <w:tcW w:type="dxa" w:w="1825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Mesures</w:t>
            </w:r>
          </w:p>
        </w:tc>
        <w:tc>
          <w:tcPr>
            <w:shd w:val="clear" w:color="auto" w:fill="0891B2"/>
            <w:tcW w:type="dxa" w:w="1623"/>
          </w:tcPr>
          <w:tcPr/>
          <w:p>
            <w:pPr>
              <w:pStyle w:val="Compact"/>
            </w:pPr>
            <w:r>
              <w:rPr>
                <w:b/>
                <w:color w:val="FFFFFF"/>
                <w:sz w:val="18"/>
                <w:szCs w:val="18"/>
                <w:lang w:val="fr-FR"/>
              </w:rPr>
              <w:t xml:space="preserve">Niveau résiduel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Accès non autorisé aux données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Peu probable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Important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Auth Firebase, règles Firestore, HTTPS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Mineur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Conseils IA biaisés/erronés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Possible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Important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Avertissements UI, pas de décision auto, prompts cadrés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Significatif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Fuite données via faille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Rare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Significatif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Traitement UE, chiffrement, DPA Google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Mineur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Contenu inapproprié (messagerie)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Possible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Important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Filtrage 72 mots-clés, modération IA, limites horaires/volume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Significatif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Divulgation données CV (téléphone, adresse)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Possible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Important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Consentement spécifique, partage optionnel, token sécurisé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Significatif</w:t>
            </w:r>
          </w:p>
        </w:tc>
      </w:tr>
      <w:tr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Vulnérabilité XSS</w:t>
            </w:r>
          </w:p>
        </w:tc>
        <w:tc>
          <w:tcPr>
            <w:tcW w:type="dxa" w:w="1117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Élevée</w:t>
            </w:r>
          </w:p>
        </w:tc>
        <w:tc>
          <w:tcPr>
            <w:tcW w:type="dxa" w:w="1724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Possible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Important</w:t>
            </w:r>
          </w:p>
        </w:tc>
        <w:tc>
          <w:tcPr>
            <w:tcW w:type="dxa" w:w="1825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Sanitization DOMPurify, CSP headers</w:t>
            </w:r>
          </w:p>
        </w:tc>
        <w:tc>
          <w:tcPr>
            <w:tcW w:type="dxa" w:w="1623"/>
          </w:tcPr>
          <w:tcPr/>
          <w:p>
            <w:pPr>
              <w:pStyle w:val="Compact"/>
            </w:pPr>
            <w:r>
              <w:rPr>
                <w:sz w:val="18"/>
                <w:szCs w:val="18"/>
                <w:lang w:val="fr-FR"/>
              </w:rPr>
              <w:t xml:space="preserve">Mineur</w:t>
            </w:r>
          </w:p>
        </w:tc>
      </w:tr>
    </w:tbl>
    <w:bookmarkEnd w:id="22"/>
    <w:bookmarkStart w:id="23" w:name="X263d922445aa3ae23bb65eb8effc79c59237462"/>
    <w:p>
      <w:pPr>
        <w:pStyle w:val="Heading3"/>
      </w:pPr>
      <w:r>
        <w:rPr>
          <w:lang w:val="fr-FR"/>
        </w:rPr>
        <w:t xml:space="preserve">3.3 Impacts potentiels sur les droits et libertés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490"/>
        <w:gridCol w:w="5512"/>
        <w:gridCol w:w="1635"/>
      </w:tblGrid>
      <w:tr>
        <w:trPr>
          <w:tblHeader w:val="on"/>
        </w:trPr>
        <w:tc>
          <w:tcPr>
            <w:shd w:val="clear" w:color="auto" w:fill="0891B2"/>
            <w:tcW w:type="dxa" w:w="2490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Impact</w:t>
            </w:r>
          </w:p>
        </w:tc>
        <w:tc>
          <w:tcPr>
            <w:shd w:val="clear" w:color="auto" w:fill="0891B2"/>
            <w:tcW w:type="dxa" w:w="551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Description</w:t>
            </w:r>
          </w:p>
        </w:tc>
        <w:tc>
          <w:tcPr>
            <w:shd w:val="clear" w:color="auto" w:fill="0891B2"/>
            <w:tcW w:type="dxa" w:w="163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Niveau</w:t>
            </w:r>
          </w:p>
        </w:tc>
      </w:tr>
      <w:tr>
        <w:tc>
          <w:tcPr>
            <w:tcW w:type="dxa" w:w="24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Atteinte vie privée</w:t>
            </w:r>
          </w:p>
        </w:tc>
        <w:tc>
          <w:tcPr>
            <w:tcW w:type="dxa" w:w="551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Divulgation informations personnelles (journal, messages)</w:t>
            </w:r>
          </w:p>
        </w:tc>
        <w:tc>
          <w:tcPr>
            <w:tcW w:type="dxa" w:w="163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Élevé</w:t>
            </w:r>
          </w:p>
        </w:tc>
      </w:tr>
      <w:tr>
        <w:tc>
          <w:tcPr>
            <w:tcW w:type="dxa" w:w="24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Discrimination</w:t>
            </w:r>
          </w:p>
        </w:tc>
        <w:tc>
          <w:tcPr>
            <w:tcW w:type="dxa" w:w="551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Biais algorithmiques dans recommandations IA</w:t>
            </w:r>
          </w:p>
        </w:tc>
        <w:tc>
          <w:tcPr>
            <w:tcW w:type="dxa" w:w="163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Moyen</w:t>
            </w:r>
          </w:p>
        </w:tc>
      </w:tr>
      <w:tr>
        <w:tc>
          <w:tcPr>
            <w:tcW w:type="dxa" w:w="24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Perte d’autonomie</w:t>
            </w:r>
          </w:p>
        </w:tc>
        <w:tc>
          <w:tcPr>
            <w:tcW w:type="dxa" w:w="551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Décisions d’orientation influencées par IA</w:t>
            </w:r>
          </w:p>
        </w:tc>
        <w:tc>
          <w:tcPr>
            <w:tcW w:type="dxa" w:w="163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Moyen</w:t>
            </w:r>
          </w:p>
        </w:tc>
      </w:tr>
      <w:tr>
        <w:tc>
          <w:tcPr>
            <w:tcW w:type="dxa" w:w="2490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Préjudice psychologique</w:t>
            </w:r>
          </w:p>
        </w:tc>
        <w:tc>
          <w:tcPr>
            <w:tcW w:type="dxa" w:w="551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Contenus inappropriés, stress lié à l’orientation</w:t>
            </w:r>
          </w:p>
        </w:tc>
        <w:tc>
          <w:tcPr>
            <w:tcW w:type="dxa" w:w="163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Élevé (mineurs)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9" w:name="Xc073d0e56607cd7eb30077acb2a5ef2a61c7a59"/>
    <w:p>
      <w:pPr>
        <w:pStyle w:val="Heading2"/>
      </w:pPr>
      <w:r>
        <w:rPr>
          <w:lang w:val="fr-FR"/>
        </w:rPr>
        <w:t xml:space="preserve">4. Mesures de sécurité mises en œuvre par l’éditeur</w:t>
      </w:r>
    </w:p>
    <w:bookmarkStart w:id="25" w:name="sécurité-technique"/>
    <w:p>
      <w:pPr>
        <w:pStyle w:val="Heading3"/>
      </w:pPr>
      <w:r>
        <w:rPr>
          <w:lang w:val="fr-FR"/>
        </w:rPr>
        <w:t xml:space="preserve">4.1 Sécurité technique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062"/>
        <w:gridCol w:w="6575"/>
      </w:tblGrid>
      <w:tr>
        <w:trPr>
          <w:tblHeader w:val="on"/>
        </w:trPr>
        <w:tc>
          <w:tcPr>
            <w:shd w:val="clear" w:color="auto" w:fill="0891B2"/>
            <w:tcW w:type="dxa" w:w="306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Mesure</w:t>
            </w:r>
          </w:p>
        </w:tc>
        <w:tc>
          <w:tcPr>
            <w:shd w:val="clear" w:color="auto" w:fill="0891B2"/>
            <w:tcW w:type="dxa" w:w="657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Description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Authentification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Firebase Authentication.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Enseignants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adresse académique + mot de passe, adresse vérifiée par un code à 6 chiffres.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Élèves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compte SANS adresse ni mot de passe, ouvert par un couple de codes (code de classe + code personnel remis par l’enseignant) ; l’élève peut ensuite enregistrer une adresse et un mot de passe, ce qui révoque son code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Autorisation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Règles Firestore strictes (rôle, schoolId, classId)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Chiffrement transit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HTTPS/TLS 1.3 systématique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Chiffrement repos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AES-256 (Firebase/GCP)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Protection XSS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Sanitization DOMPurify, CSP headers</w:t>
            </w:r>
          </w:p>
        </w:tc>
      </w:tr>
      <w:tr>
        <w:tc>
          <w:tcPr>
            <w:tcW w:type="dxa" w:w="3062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Protection messagerie</w:t>
            </w:r>
          </w:p>
        </w:tc>
        <w:tc>
          <w:tcPr>
            <w:tcW w:type="dxa" w:w="657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Filtrage 72 mots-clés + modération IA Gemini</w:t>
            </w:r>
          </w:p>
        </w:tc>
      </w:tr>
    </w:tbl>
    <w:bookmarkEnd w:id="25"/>
    <w:bookmarkStart w:id="26" w:name="sécurité-ia"/>
    <w:p>
      <w:pPr>
        <w:pStyle w:val="Heading3"/>
      </w:pPr>
      <w:r>
        <w:rPr>
          <w:lang w:val="fr-FR"/>
        </w:rPr>
        <w:t xml:space="preserve">4.2 Sécurité IA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3553"/>
        <w:gridCol w:w="6084"/>
      </w:tblGrid>
      <w:tr>
        <w:trPr>
          <w:tblHeader w:val="on"/>
        </w:trPr>
        <w:tc>
          <w:tcPr>
            <w:shd w:val="clear" w:color="auto" w:fill="0891B2"/>
            <w:tcW w:type="dxa" w:w="3553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Mesure</w:t>
            </w:r>
          </w:p>
        </w:tc>
        <w:tc>
          <w:tcPr>
            <w:shd w:val="clear" w:color="auto" w:fill="0891B2"/>
            <w:tcW w:type="dxa" w:w="6084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Description</w:t>
            </w:r>
          </w:p>
        </w:tc>
      </w:tr>
      <w:tr>
        <w:tc>
          <w:tcPr>
            <w:tcW w:type="dxa" w:w="3553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Traitement UE</w:t>
            </w:r>
          </w:p>
        </w:tc>
        <w:tc>
          <w:tcPr>
            <w:tcW w:type="dxa" w:w="608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Endpoints Vertex AI europe-west1 (Belgique)</w:t>
            </w:r>
          </w:p>
        </w:tc>
      </w:tr>
      <w:tr>
        <w:tc>
          <w:tcPr>
            <w:tcW w:type="dxa" w:w="3553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Non-entraînement</w:t>
            </w:r>
          </w:p>
        </w:tc>
        <w:tc>
          <w:tcPr>
            <w:tcW w:type="dxa" w:w="608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Données non utilisées pour entraîner les modèles</w:t>
            </w:r>
          </w:p>
        </w:tc>
      </w:tr>
      <w:tr>
        <w:tc>
          <w:tcPr>
            <w:tcW w:type="dxa" w:w="3553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Protection prompt injection</w:t>
            </w:r>
          </w:p>
        </w:tc>
        <w:tc>
          <w:tcPr>
            <w:tcW w:type="dxa" w:w="608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Clauses de sécurité dans tous les prompts</w:t>
            </w:r>
          </w:p>
        </w:tc>
      </w:tr>
      <w:tr>
        <w:tc>
          <w:tcPr>
            <w:tcW w:type="dxa" w:w="3553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Données non envoyées à l’IA</w:t>
            </w:r>
          </w:p>
        </w:tc>
        <w:tc>
          <w:tcPr>
            <w:tcW w:type="dxa" w:w="6084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Email, nom de famille, UID, nom établissement</w:t>
            </w:r>
          </w:p>
        </w:tc>
      </w:tr>
    </w:tbl>
    <w:bookmarkEnd w:id="26"/>
    <w:bookmarkStart w:id="27" w:name="gestion-des-droits"/>
    <w:p>
      <w:pPr>
        <w:pStyle w:val="Heading3"/>
      </w:pPr>
      <w:r>
        <w:rPr>
          <w:lang w:val="fr-FR"/>
        </w:rPr>
        <w:t xml:space="preserve">4.3 Gestion des droits</w:t>
      </w:r>
    </w:p>
    <w:tbl>
      <w:tblPr>
        <w:tblStyle w:val="Table"/>
        <w:tblW w:type="dxa" w:w="9638"/>
        <w:tblLook w:firstRow="1" w:lastRow="0" w:firstColumn="0" w:lastColumn="0" w:noHBand="0" w:noVBand="0" w:val="0020"/>
      </w:tblPr>
      <w:tblGrid>
        <w:gridCol w:w="3094"/>
        <w:gridCol w:w="6543"/>
      </w:tblGrid>
      <w:tr>
        <w:trPr>
          <w:tblHeader w:val="on"/>
        </w:trPr>
        <w:tc>
          <w:tcPr>
            <w:shd w:val="clear" w:color="auto" w:fill="0891B2"/>
            <w:tcW w:type="dxa" w:w="3094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Droit</w:t>
            </w:r>
          </w:p>
        </w:tc>
        <w:tc>
          <w:tcPr>
            <w:shd w:val="clear" w:color="auto" w:fill="0891B2"/>
            <w:tcW w:type="dxa" w:w="6543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Mise en œuvre</w:t>
            </w:r>
          </w:p>
        </w:tc>
      </w:tr>
      <w:tr>
        <w:tc>
          <w:tcPr>
            <w:tcW w:type="dxa" w:w="3094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Accès</w:t>
            </w:r>
          </w:p>
        </w:tc>
        <w:tc>
          <w:tcPr>
            <w:tcW w:type="dxa" w:w="654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Export JSON/CSV depuis profil</w:t>
            </w:r>
          </w:p>
        </w:tc>
      </w:tr>
      <w:tr>
        <w:tc>
          <w:tcPr>
            <w:tcW w:type="dxa" w:w="3094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Rectification</w:t>
            </w:r>
          </w:p>
        </w:tc>
        <w:tc>
          <w:tcPr>
            <w:tcW w:type="dxa" w:w="654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Modification directe dans l’application</w:t>
            </w:r>
          </w:p>
        </w:tc>
      </w:tr>
      <w:tr>
        <w:tc>
          <w:tcPr>
            <w:tcW w:type="dxa" w:w="3094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Effacement</w:t>
            </w:r>
          </w:p>
        </w:tc>
        <w:tc>
          <w:tcPr>
            <w:tcW w:type="dxa" w:w="654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Fonction suppression compte (délai 30 jours max)</w:t>
            </w:r>
          </w:p>
        </w:tc>
      </w:tr>
      <w:tr>
        <w:tc>
          <w:tcPr>
            <w:tcW w:type="dxa" w:w="3094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Portabilité</w:t>
            </w:r>
          </w:p>
        </w:tc>
        <w:tc>
          <w:tcPr>
            <w:tcW w:type="dxa" w:w="654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Export JSON structuré</w:t>
            </w:r>
          </w:p>
        </w:tc>
      </w:tr>
      <w:tr>
        <w:tc>
          <w:tcPr>
            <w:tcW w:type="dxa" w:w="3094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Opposition marketing</w:t>
            </w:r>
          </w:p>
        </w:tc>
        <w:tc>
          <w:tcPr>
            <w:tcW w:type="dxa" w:w="6543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Désinscription automatique Brevo</w:t>
            </w:r>
          </w:p>
        </w:tc>
      </w:tr>
    </w:tbl>
    <w:bookmarkEnd w:id="27"/>
    <w:bookmarkStart w:id="28" w:name="purge-automatique-des-données"/>
    <w:p>
      <w:pPr>
        <w:pStyle w:val="Heading3"/>
      </w:pPr>
      <w:r>
        <w:rPr>
          <w:lang w:val="fr-FR"/>
        </w:rPr>
        <w:t xml:space="preserve">4.4 Purge automatique des données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Marquage automatique des élèves de Terminale (1er juillet)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Suppression programmée : scolarité + 1 an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Avertissement email 30 jours et 7 jours avant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Conservation archives légales : 4 ans (obligation Éducation Nationale)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Purge automatique mensuelle des archives expirées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3" w:name="X02f2a8403bd20fe8ceb1817b8da69a58bf7bf45"/>
    <w:p>
      <w:pPr>
        <w:pStyle w:val="Heading2"/>
      </w:pPr>
      <w:r>
        <w:rPr>
          <w:lang w:val="fr-FR"/>
        </w:rPr>
        <w:t xml:space="preserve">5. Mesures complémentaires de l’établissement</w:t>
      </w:r>
    </w:p>
    <w:bookmarkStart w:id="30" w:name="information-des-personnes-concernées"/>
    <w:p>
      <w:pPr>
        <w:pStyle w:val="Heading3"/>
      </w:pPr>
      <w:r>
        <w:rPr>
          <w:lang w:val="fr-FR"/>
        </w:rPr>
        <w:t xml:space="preserve">5.1 Information des personnes concernées</w:t>
      </w:r>
    </w:p>
    <w:p>
      <w:pPr>
        <w:pStyle w:val="FirstParagraph"/>
      </w:pPr>
      <w:r>
        <w:rPr>
          <w:lang w:val="fr-FR"/>
        </w:rPr>
        <w:t xml:space="preserve">[À COMPLÉTER PAR L’ÉTABLISSEMENT]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Information des élèves (document distribué / affichage ENT)</w:t>
      </w:r>
    </w:p>
    <w:p>
      <w:pPr>
        <w:pStyle w:val="Compact"/>
        <w:numPr>
          <w:ilvl w:val="0"/>
          <w:numId w:val="1006"/>
        </w:numPr>
      </w:pPr>
      <w:r>
        <w:rPr>
          <w:lang w:val="fr-FR"/>
        </w:rPr>
        <w:t xml:space="preserve">Information des parents (courrier / réunion parents)</w:t>
      </w:r>
    </w:p>
    <w:p>
      <w:pPr>
        <w:pStyle w:val="Compact"/>
        <w:numPr>
          <w:ilvl w:val="0"/>
          <w:numId w:val="1007"/>
        </w:numPr>
      </w:pPr>
      <w:r>
        <w:rPr>
          <w:lang w:val="fr-FR"/>
        </w:rPr>
        <w:t xml:space="preserve">Information des enseignants (réunion pédagogique)</w:t>
      </w:r>
    </w:p>
    <w:p>
      <w:pPr>
        <w:pStyle w:val="Compact"/>
        <w:numPr>
          <w:ilvl w:val="0"/>
          <w:numId w:val="1008"/>
        </w:numPr>
      </w:pPr>
      <w:r>
        <w:rPr>
          <w:lang w:val="fr-FR"/>
        </w:rPr>
        <w:t xml:space="preserve">Recueil des consentements pour les mineurs de moins de 15 ans</w:t>
      </w:r>
    </w:p>
    <w:p>
      <w:pPr>
        <w:pStyle w:val="FirstParagraph"/>
      </w:pPr>
      <w:r>
        <w:rPr>
          <w:b/>
          <w:bCs/>
          <w:lang w:val="fr-FR"/>
        </w:rPr>
        <w:t xml:space="preserve">Document d’information utilisé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bookmarkEnd w:id="30"/>
    <w:bookmarkStart w:id="31" w:name="formation-des-utilisateurs"/>
    <w:p>
      <w:pPr>
        <w:pStyle w:val="Heading3"/>
      </w:pPr>
      <w:r>
        <w:rPr>
          <w:lang w:val="fr-FR"/>
        </w:rPr>
        <w:t xml:space="preserve">5.2 Formation des utilisateurs</w:t>
      </w:r>
    </w:p>
    <w:p>
      <w:pPr>
        <w:pStyle w:val="FirstParagraph"/>
      </w:pPr>
      <w:r>
        <w:rPr>
          <w:lang w:val="fr-FR"/>
        </w:rPr>
        <w:t xml:space="preserve">[À COMPLÉTER PAR L’ÉTABLISSEMENT]</w:t>
      </w:r>
    </w:p>
    <w:p>
      <w:pPr>
        <w:pStyle w:val="Compact"/>
        <w:numPr>
          <w:ilvl w:val="0"/>
          <w:numId w:val="1009"/>
        </w:numPr>
      </w:pPr>
      <w:r>
        <w:rPr>
          <w:lang w:val="fr-FR"/>
        </w:rPr>
        <w:t xml:space="preserve">Formation des enseignants à l’utilisation de l’application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Sensibilisation aux risques liés à l’IA</w:t>
      </w:r>
    </w:p>
    <w:p>
      <w:pPr>
        <w:pStyle w:val="Compact"/>
        <w:numPr>
          <w:ilvl w:val="0"/>
          <w:numId w:val="1011"/>
        </w:numPr>
      </w:pPr>
      <w:r>
        <w:rPr>
          <w:lang w:val="fr-FR"/>
        </w:rPr>
        <w:t xml:space="preserve">Consignes pour la messagerie sécurisée</w:t>
      </w:r>
    </w:p>
    <w:bookmarkEnd w:id="31"/>
    <w:bookmarkStart w:id="32" w:name="procédure-de-gestion-des-incidents"/>
    <w:p>
      <w:pPr>
        <w:pStyle w:val="Heading3"/>
      </w:pPr>
      <w:r>
        <w:rPr>
          <w:lang w:val="fr-FR"/>
        </w:rPr>
        <w:t xml:space="preserve">5.3 Procédure de gestion des incidents</w:t>
      </w:r>
    </w:p>
    <w:p>
      <w:pPr>
        <w:pStyle w:val="FirstParagraph"/>
      </w:pPr>
      <w:r>
        <w:rPr>
          <w:lang w:val="fr-FR"/>
        </w:rPr>
        <w:t xml:space="preserve">[À COMPLÉTER PAR L’ÉTABLISSEMENT]</w:t>
      </w:r>
    </w:p>
    <w:p>
      <w:pPr>
        <w:pStyle w:val="BodyText"/>
      </w:pPr>
      <w:r>
        <w:rPr>
          <w:b/>
          <w:bCs/>
          <w:lang w:val="fr-FR"/>
        </w:rPr>
        <w:t xml:space="preserve">Référent sécurité établissement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Procédure en cas de violation de données :</w:t>
      </w:r>
      <w:r>
        <w:rPr>
          <w:lang w:val="fr-FR"/>
        </w:rPr>
        <w:t xml:space="preserve"> </w:t>
      </w:r>
      <w:r>
        <w:rPr>
          <w:lang w:val="fr-FR"/>
        </w:rPr>
        <w:t xml:space="preserve">1. Notification immédiate à l’éditeur (contact@oriantation.fr)</w:t>
      </w:r>
      <w:r>
        <w:rPr>
          <w:lang w:val="fr-FR"/>
        </w:rPr>
        <w:t xml:space="preserve"> </w:t>
      </w:r>
      <w:r>
        <w:rPr>
          <w:lang w:val="fr-FR"/>
        </w:rPr>
        <w:t xml:space="preserve">2. Évaluation de la gravité avec le DPO académique</w:t>
      </w:r>
      <w:r>
        <w:rPr>
          <w:lang w:val="fr-FR"/>
        </w:rPr>
        <w:t xml:space="preserve"> </w:t>
      </w:r>
      <w:r>
        <w:rPr>
          <w:lang w:val="fr-FR"/>
        </w:rPr>
        <w:t xml:space="preserve">3. Notification CNIL sous 72h si risque élevé</w:t>
      </w:r>
      <w:r>
        <w:rPr>
          <w:lang w:val="fr-FR"/>
        </w:rPr>
        <w:t xml:space="preserve"> </w:t>
      </w:r>
      <w:r>
        <w:rPr>
          <w:lang w:val="fr-FR"/>
        </w:rPr>
        <w:t xml:space="preserve">4. Information des personnes concernées si nécessaire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6" w:name="avis-du-dpo-académique"/>
    <w:p>
      <w:pPr>
        <w:pStyle w:val="Heading2"/>
      </w:pPr>
      <w:r>
        <w:rPr>
          <w:lang w:val="fr-FR"/>
        </w:rPr>
        <w:t xml:space="preserve">6. Avis du DPO académique</w:t>
      </w:r>
    </w:p>
    <w:bookmarkStart w:id="34" w:name="avis"/>
    <w:p>
      <w:pPr>
        <w:pStyle w:val="Heading3"/>
      </w:pPr>
      <w:r>
        <w:rPr>
          <w:lang w:val="fr-FR"/>
        </w:rPr>
        <w:t xml:space="preserve">6.1 Avis</w:t>
      </w:r>
    </w:p>
    <w:p>
      <w:pPr>
        <w:pStyle w:val="FirstParagraph"/>
      </w:pPr>
      <w:r>
        <w:rPr>
          <w:lang w:val="fr-FR"/>
        </w:rPr>
        <w:t xml:space="preserve">[À COMPLÉTER PAR LE DPO ACADÉMIQUE]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Favorable sans réserve</w:t>
      </w:r>
    </w:p>
    <w:p>
      <w:pPr>
        <w:pStyle w:val="Compact"/>
        <w:numPr>
          <w:ilvl w:val="0"/>
          <w:numId w:val="1013"/>
        </w:numPr>
      </w:pPr>
      <w:r>
        <w:rPr>
          <w:lang w:val="fr-FR"/>
        </w:rPr>
        <w:t xml:space="preserve">Favorable avec réserves (détailler ci-dessous)</w:t>
      </w:r>
    </w:p>
    <w:p>
      <w:pPr>
        <w:pStyle w:val="Compact"/>
        <w:numPr>
          <w:ilvl w:val="0"/>
          <w:numId w:val="1014"/>
        </w:numPr>
      </w:pPr>
      <w:r>
        <w:rPr>
          <w:lang w:val="fr-FR"/>
        </w:rPr>
        <w:t xml:space="preserve">Défavorable (détailler ci-dessous)</w:t>
      </w:r>
    </w:p>
    <w:p>
      <w:pPr>
        <w:pStyle w:val="FirstParagraph"/>
      </w:pPr>
      <w:r>
        <w:rPr>
          <w:b/>
          <w:bCs/>
          <w:lang w:val="fr-FR"/>
        </w:rPr>
        <w:t xml:space="preserve">Observations 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4"/>
    <w:bookmarkStart w:id="35" w:name="recommandations"/>
    <w:p>
      <w:pPr>
        <w:pStyle w:val="Heading3"/>
      </w:pPr>
      <w:r>
        <w:rPr>
          <w:lang w:val="fr-FR"/>
        </w:rPr>
        <w:t xml:space="preserve">6.2 Recommandations</w:t>
      </w:r>
    </w:p>
    <w:p>
      <w:pPr>
        <w:pStyle w:val="FirstParagraph"/>
      </w:pPr>
      <w:r>
        <w:rPr>
          <w:lang w:val="fr-FR"/>
        </w:rPr>
        <w:t xml:space="preserve">[À COMPLÉTER PAR LE DPO ACADÉMIQUE]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9" w:name="décision-du-responsable-de-traitement"/>
    <w:p>
      <w:pPr>
        <w:pStyle w:val="Heading2"/>
      </w:pPr>
      <w:r>
        <w:rPr>
          <w:lang w:val="fr-FR"/>
        </w:rPr>
        <w:t xml:space="preserve">7. Décision du responsable de traitement</w:t>
      </w:r>
    </w:p>
    <w:bookmarkStart w:id="37" w:name="décision"/>
    <w:p>
      <w:pPr>
        <w:pStyle w:val="Heading3"/>
      </w:pPr>
      <w:r>
        <w:rPr>
          <w:lang w:val="fr-FR"/>
        </w:rPr>
        <w:t xml:space="preserve">7.1 Décision</w:t>
      </w:r>
    </w:p>
    <w:p>
      <w:pPr>
        <w:pStyle w:val="FirstParagraph"/>
      </w:pPr>
      <w:r>
        <w:rPr>
          <w:lang w:val="fr-FR"/>
        </w:rPr>
        <w:t xml:space="preserve">[À COMPLÉTER PAR LE CHEF D’ÉTABLISSEMENT]</w:t>
      </w:r>
    </w:p>
    <w:p>
      <w:pPr>
        <w:pStyle w:val="BodyText"/>
      </w:pPr>
      <w:r>
        <w:rPr>
          <w:lang w:val="fr-FR"/>
        </w:rPr>
        <w:t xml:space="preserve">Après examen de la présente analyse d’impact et de l’avis du DPO académique :</w:t>
      </w:r>
    </w:p>
    <w:p>
      <w:pPr>
        <w:pStyle w:val="Compact"/>
        <w:numPr>
          <w:ilvl w:val="0"/>
          <w:numId w:val="1015"/>
        </w:numPr>
      </w:pPr>
      <w:r>
        <w:rPr>
          <w:lang w:val="fr-FR"/>
        </w:rPr>
        <w:t xml:space="preserve">J’autorise le déploiement d’OrIAntation dans l’établissement</w:t>
      </w:r>
    </w:p>
    <w:p>
      <w:pPr>
        <w:pStyle w:val="Compact"/>
        <w:numPr>
          <w:ilvl w:val="0"/>
          <w:numId w:val="1016"/>
        </w:numPr>
      </w:pPr>
      <w:r>
        <w:rPr>
          <w:lang w:val="fr-FR"/>
        </w:rPr>
        <w:t xml:space="preserve">Je reporte le déploiement en attente de mesures complémentaires</w:t>
      </w:r>
    </w:p>
    <w:p>
      <w:pPr>
        <w:pStyle w:val="Compact"/>
        <w:numPr>
          <w:ilvl w:val="0"/>
          <w:numId w:val="1017"/>
        </w:numPr>
      </w:pPr>
      <w:r>
        <w:rPr>
          <w:lang w:val="fr-FR"/>
        </w:rPr>
        <w:t xml:space="preserve">Je refuse le déploiement</w:t>
      </w:r>
    </w:p>
    <w:p>
      <w:pPr>
        <w:pStyle w:val="FirstParagraph"/>
      </w:pPr>
      <w:r>
        <w:rPr>
          <w:b/>
          <w:bCs/>
          <w:lang w:val="fr-FR"/>
        </w:rPr>
        <w:t xml:space="preserve">Justification 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7"/>
    <w:bookmarkStart w:id="38" w:name="inscription-au-registre"/>
    <w:p>
      <w:pPr>
        <w:pStyle w:val="Heading3"/>
      </w:pPr>
      <w:r>
        <w:rPr>
          <w:lang w:val="fr-FR"/>
        </w:rPr>
        <w:t xml:space="preserve">7.2 Inscription au registre</w:t>
      </w:r>
    </w:p>
    <w:p>
      <w:pPr>
        <w:pStyle w:val="Compact"/>
        <w:numPr>
          <w:ilvl w:val="0"/>
          <w:numId w:val="1018"/>
        </w:numPr>
      </w:pPr>
      <w:r>
        <w:rPr>
          <w:lang w:val="fr-FR"/>
        </w:rPr>
        <w:t xml:space="preserve">Traitement inscrit au registre des activités de traitement de l’établissement</w:t>
      </w:r>
    </w:p>
    <w:p>
      <w:pPr>
        <w:pStyle w:val="FirstParagraph"/>
      </w:pPr>
      <w:r>
        <w:rPr>
          <w:b/>
          <w:bCs/>
          <w:lang w:val="fr-FR"/>
        </w:rPr>
        <w:t xml:space="preserve">Numéro de registre :</w:t>
      </w:r>
      <w:r>
        <w:rPr>
          <w:lang w:val="fr-FR"/>
        </w:rPr>
        <w:t xml:space="preserve"> </w:t>
      </w:r>
      <w:r>
        <w:rPr>
          <w:lang w:val="fr-FR"/>
        </w:rPr>
        <w:t xml:space="preserve">[À COMPLÉTER PAR L’ÉTABLISSEMENT]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2" w:name="signatures"/>
    <w:p>
      <w:pPr>
        <w:pStyle w:val="Heading2"/>
      </w:pPr>
      <w:r>
        <w:rPr>
          <w:lang w:val="fr-FR"/>
        </w:rPr>
        <w:t xml:space="preserve">8. Signatures</w:t>
      </w:r>
    </w:p>
    <w:bookmarkStart w:id="40" w:name="Xcf0a09317e7486ab620e0bf6fc433ec86463f77"/>
    <w:p>
      <w:pPr>
        <w:pStyle w:val="Heading3"/>
      </w:pPr>
      <w:r>
        <w:rPr>
          <w:lang w:val="fr-FR"/>
        </w:rPr>
        <w:t xml:space="preserve">Chef d’établissement (Responsable de traitement)</w:t>
      </w:r>
    </w:p>
    <w:p>
      <w:pPr>
        <w:pStyle w:val="FirstParagraph"/>
      </w:pPr>
      <w:r>
        <w:rPr>
          <w:b/>
          <w:bCs/>
          <w:lang w:val="fr-FR"/>
        </w:rPr>
        <w:t xml:space="preserve">Nom et prénom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Date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Signature :</w:t>
      </w:r>
    </w:p>
    <w:bookmarkEnd w:id="40"/>
    <w:bookmarkStart w:id="41" w:name="dpo-académique"/>
    <w:p>
      <w:pPr>
        <w:pStyle w:val="Heading3"/>
      </w:pPr>
      <w:r>
        <w:rPr>
          <w:lang w:val="fr-FR"/>
        </w:rPr>
        <w:t xml:space="preserve">DPO académique</w:t>
      </w:r>
    </w:p>
    <w:p>
      <w:pPr>
        <w:pStyle w:val="FirstParagraph"/>
      </w:pPr>
      <w:r>
        <w:rPr>
          <w:b/>
          <w:bCs/>
          <w:lang w:val="fr-FR"/>
        </w:rPr>
        <w:t xml:space="preserve">Nom et prénom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Date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Signature :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6" w:name="annexes"/>
    <w:p>
      <w:pPr>
        <w:pStyle w:val="Heading2"/>
      </w:pPr>
      <w:r>
        <w:rPr>
          <w:lang w:val="fr-FR"/>
        </w:rPr>
        <w:t xml:space="preserve">Annexes</w:t>
      </w:r>
    </w:p>
    <w:bookmarkStart w:id="43" w:name="annexe-a---documents-de-référence"/>
    <w:p>
      <w:pPr>
        <w:pStyle w:val="Heading3"/>
      </w:pPr>
      <w:r>
        <w:rPr>
          <w:lang w:val="fr-FR"/>
        </w:rPr>
        <w:t xml:space="preserve">Annexe A - Documents de référence</w:t>
      </w:r>
    </w:p>
    <w:p>
      <w:pPr>
        <w:pStyle w:val="Compact"/>
        <w:numPr>
          <w:ilvl w:val="0"/>
          <w:numId w:val="1019"/>
        </w:numPr>
      </w:pPr>
      <w:r>
        <w:rPr>
          <w:lang w:val="fr-FR"/>
        </w:rPr>
        <w:t xml:space="preserve">Accord de sous-traitance article 28 RGPD (signé avec OrIAntation)</w:t>
      </w:r>
    </w:p>
    <w:p>
      <w:pPr>
        <w:pStyle w:val="Compact"/>
        <w:numPr>
          <w:ilvl w:val="0"/>
          <w:numId w:val="1019"/>
        </w:numPr>
      </w:pPr>
      <w:r>
        <w:rPr>
          <w:lang w:val="fr-FR"/>
        </w:rPr>
        <w:t xml:space="preserve">Politique de confidentialité OrIAntation (https://oriantation.fr/guides/confidentialite.html)</w:t>
      </w:r>
    </w:p>
    <w:p>
      <w:pPr>
        <w:pStyle w:val="Compact"/>
        <w:numPr>
          <w:ilvl w:val="0"/>
          <w:numId w:val="1019"/>
        </w:numPr>
      </w:pPr>
      <w:r>
        <w:rPr>
          <w:lang w:val="fr-FR"/>
        </w:rPr>
        <w:t xml:space="preserve">Mentions légales et CGU (https://oriantation.fr/guides/mentions-legales.html)</w:t>
      </w:r>
    </w:p>
    <w:p>
      <w:pPr>
        <w:pStyle w:val="Compact"/>
        <w:numPr>
          <w:ilvl w:val="0"/>
          <w:numId w:val="1019"/>
        </w:numPr>
      </w:pPr>
      <w:r>
        <w:rPr>
          <w:lang w:val="fr-FR"/>
        </w:rPr>
        <w:t xml:space="preserve">AIPD complète de l’éditeur (disponible sur demande)</w:t>
      </w:r>
    </w:p>
    <w:bookmarkEnd w:id="43"/>
    <w:bookmarkStart w:id="44" w:name="annexe-b---contact-éditeur"/>
    <w:p>
      <w:pPr>
        <w:pStyle w:val="Heading3"/>
      </w:pPr>
      <w:r>
        <w:rPr>
          <w:lang w:val="fr-FR"/>
        </w:rPr>
        <w:t xml:space="preserve">Annexe B - Contact éditeur</w:t>
      </w:r>
    </w:p>
    <w:p>
      <w:pPr>
        <w:pStyle w:val="FirstParagraph"/>
      </w:pPr>
      <w:r>
        <w:rPr>
          <w:b/>
          <w:bCs/>
          <w:lang w:val="fr-FR"/>
        </w:rPr>
        <w:t xml:space="preserve">OrIAntation</w:t>
      </w:r>
    </w:p>
    <w:p>
      <w:pPr>
        <w:pStyle w:val="BodyText"/>
      </w:pPr>
      <w:r>
        <w:rPr>
          <w:lang w:val="fr-FR"/>
        </w:rPr>
        <w:t xml:space="preserve">Thomas Cavil - Éditeur</w:t>
      </w:r>
    </w:p>
    <w:p>
      <w:pPr>
        <w:pStyle w:val="BodyText"/>
      </w:pPr>
      <w:r>
        <w:rPr>
          <w:lang w:val="fr-FR"/>
        </w:rPr>
        <w:t xml:space="preserve">Email : contact@oriantation.fr</w:t>
      </w:r>
    </w:p>
    <w:p>
      <w:pPr>
        <w:pStyle w:val="BodyText"/>
      </w:pPr>
      <w:r>
        <w:rPr>
          <w:lang w:val="fr-FR"/>
        </w:rPr>
        <w:t xml:space="preserve">Site : https://oriantation.fr</w:t>
      </w:r>
    </w:p>
    <w:bookmarkEnd w:id="44"/>
    <w:bookmarkStart w:id="45" w:name="annexe-c---historique-des-révisions"/>
    <w:p>
      <w:pPr>
        <w:pStyle w:val="Heading3"/>
      </w:pPr>
      <w:r>
        <w:rPr>
          <w:lang w:val="fr-FR"/>
        </w:rPr>
        <w:t xml:space="preserve">Annexe C - Historique des révisions</w:t>
      </w:r>
    </w:p>
    <w:tbl>
      <w:tblPr>
        <w:tblStyle w:val="Table"/>
        <w:tblW w:type="dxa" w:w="9638"/>
        <w:tblLook w:firstRow="1" w:lastRow="0" w:firstColumn="0" w:lastColumn="0" w:noHBand="0" w:noVBand="0" w:val="0020"/>
      </w:tblPr>
      <w:tblGrid>
        <w:gridCol w:w="1542"/>
        <w:gridCol w:w="1542"/>
        <w:gridCol w:w="2698"/>
        <w:gridCol w:w="3855"/>
      </w:tblGrid>
      <w:tr>
        <w:trPr>
          <w:tblHeader w:val="on"/>
        </w:trPr>
        <w:tc>
          <w:tcPr>
            <w:shd w:val="clear" w:color="auto" w:fill="0891B2"/>
            <w:tcW w:type="dxa" w:w="154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Version</w:t>
            </w:r>
          </w:p>
        </w:tc>
        <w:tc>
          <w:tcPr>
            <w:shd w:val="clear" w:color="auto" w:fill="0891B2"/>
            <w:tcW w:type="dxa" w:w="154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Date</w:t>
            </w:r>
          </w:p>
        </w:tc>
        <w:tc>
          <w:tcPr>
            <w:shd w:val="clear" w:color="auto" w:fill="0891B2"/>
            <w:tcW w:type="dxa" w:w="2698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Auteur</w:t>
            </w:r>
          </w:p>
        </w:tc>
        <w:tc>
          <w:tcPr>
            <w:shd w:val="clear" w:color="auto" w:fill="0891B2"/>
            <w:tcW w:type="dxa" w:w="385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Modifications</w:t>
            </w:r>
          </w:p>
        </w:tc>
      </w:tr>
      <w:tr>
        <w:tc>
          <w:tcPr>
            <w:tcW w:type="dxa" w:w="154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1.0</w:t>
            </w:r>
          </w:p>
        </w:tc>
        <w:tc>
          <w:tcPr>
            <w:tcW w:type="dxa" w:w="154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[DATE]</w:t>
            </w:r>
          </w:p>
        </w:tc>
        <w:tc>
          <w:tcPr>
            <w:tcW w:type="dxa" w:w="2698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[ÉTABLISSEMENT]</w:t>
            </w:r>
          </w:p>
        </w:tc>
        <w:tc>
          <w:tcPr>
            <w:tcW w:type="dxa" w:w="385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Création initiale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fr-FR"/>
        </w:rPr>
        <w:t xml:space="preserve">Ce modèle a été préparé par OrIAntation pour faciliter la conformité RGPD et RIA des établissements scolaires. Il doit être adapté et validé par le responsable de traitement et le DPO académique.</w:t>
      </w:r>
    </w:p>
    <w:bookmarkEnd w:id="45"/>
    <w:bookmarkEnd w:id="46"/>
    <w:bookmarkEnd w:id="47"/>
    <w:sectPr>
      <w:footnotePr>
        <w:numRestart w:val="eachSect"/>
      </w:footnotePr>
      <w:pgSz w:w="11906" w:h="16838"/>
      <w:pgMar w:top="1440" w:right="1134" w:bottom="1440" w:left="113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pBdr>
        <w:bottom w:color="0891B2" w:space="4" w:sz="18" w:val="single"/>
      </w:pBdr>
      <w:keepNext/>
      <w:keepLines/>
      <w:spacing w:after="80" w:before="360"/>
      <w:outlineLvl w:val="0"/>
    </w:pPr>
    <w:rPr>
      <w:b/>
      <w:color w:val="1A3263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pBdr>
        <w:bottom w:color="0891B2" w:space="2" w:sz="8" w:val="single"/>
      </w:pBdr>
      <w:keepNext/>
      <w:keepLines/>
      <w:spacing w:after="80" w:before="160"/>
      <w:outlineLvl w:val="1"/>
    </w:pPr>
    <w:rPr>
      <w:b/>
      <w:color w:val="0891B2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b/>
      <w:color w:val="0891B2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b/>
      <w:color w:val="334155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2026-09-05T10:40:29Z</dcterms:created>
  <dcterms:modified xsi:type="dcterms:W3CDTF">2026-09-05T10:40:29Z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