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accord-de-sous-traitance-rgpd"/>
    <w:p>
      <w:pPr>
        <w:pStyle w:val="Heading1"/>
      </w:pPr>
      <w:r>
        <w:rPr>
          <w:lang w:val="fr-FR"/>
        </w:rPr>
        <w:t xml:space="preserve">Accord de Sous-Traitance RGPD</w:t>
      </w:r>
    </w:p>
    <w:p>
      <w:pPr>
        <w:pStyle w:val="FirstParagraph"/>
      </w:pPr>
      <w:r>
        <w:rPr>
          <w:b/>
          <w:bCs/>
          <w:lang w:val="fr-FR"/>
        </w:rPr>
        <w:t xml:space="preserve">Article 28 du Règlement (UE) 2016/679</w:t>
      </w:r>
    </w:p>
    <w:p>
      <w:pPr>
        <w:pStyle w:val="BodyText"/>
      </w:pPr>
      <w:r>
        <w:rPr>
          <w:lang w:val="fr-FR"/>
        </w:rPr>
        <w:t xml:space="preserve">Version 1.3 - 5 septembre 2026</w:t>
      </w:r>
    </w:p>
    <w:p>
      <w:r>
        <w:pict>
          <v:rect style="width:0;height:1.5pt" o:hralign="center" o:hrstd="t" o:hr="t"/>
        </w:pict>
      </w:r>
    </w:p>
    <w:bookmarkStart w:id="9" w:name="préambule"/>
    <w:p>
      <w:pPr>
        <w:pStyle w:val="Heading2"/>
      </w:pPr>
      <w:r>
        <w:rPr>
          <w:lang w:val="fr-FR"/>
        </w:rPr>
        <w:t xml:space="preserve">Préambule</w:t>
      </w:r>
    </w:p>
    <w:p>
      <w:pPr>
        <w:pStyle w:val="FirstParagraph"/>
      </w:pPr>
      <w:r>
        <w:rPr>
          <w:lang w:val="fr-FR"/>
        </w:rPr>
        <w:t xml:space="preserve">Le présent accord est conclu en application de l’article 28 du Règlement (UE) 2016/679 du 27 avril 2016 (RGPD) et définit les conditions dans lesquelles le Sous-traitant s’engage à effectuer pour le compte du Responsable de traitement les opérations de traitement de données à caractère personnel décrites ci-après.</w:t>
      </w:r>
    </w:p>
    <w:p>
      <w:pPr>
        <w:pStyle w:val="BodyText"/>
      </w:pPr>
      <w:r>
        <w:rPr>
          <w:lang w:val="fr-FR"/>
        </w:rPr>
        <w:t xml:space="preserve">Il couvre l’usage du service OrIAntation par les personnels de l’établissement dans le cadre de leur mission d’enseignement et d’accompagnement à l’orientation,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que cet usage donne lieu ou non à un abonnement de l’établissement</w:t>
      </w:r>
      <w:r>
        <w:rPr>
          <w:lang w:val="fr-FR"/>
        </w:rPr>
        <w:t xml:space="preserve">. Le canal de souscription est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sans incidence sur la qualification des parties</w:t>
      </w:r>
      <w:r>
        <w:rPr>
          <w:lang w:val="fr-FR"/>
        </w:rPr>
        <w:t xml:space="preserve"> </w:t>
      </w:r>
      <w:r>
        <w:rPr>
          <w:lang w:val="fr-FR"/>
        </w:rPr>
        <w:t xml:space="preserve">: dès lors que le traitement porte sur des données d’élèves dans le cadre scolaire, l’établissement est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responsable de traitement</w:t>
      </w:r>
      <w:r>
        <w:rPr>
          <w:lang w:val="fr-FR"/>
        </w:rPr>
        <w:t xml:space="preserve"> </w:t>
      </w:r>
      <w:r>
        <w:rPr>
          <w:lang w:val="fr-FR"/>
        </w:rPr>
        <w:t xml:space="preserve">et l’éditeur du service agit en qualité de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sous-traitant</w:t>
      </w:r>
      <w:r>
        <w:rPr>
          <w:lang w:val="fr-FR"/>
        </w:rPr>
        <w:t xml:space="preserve">.</w:t>
      </w:r>
    </w:p>
    <w:p>
      <w:pPr>
        <w:pStyle w:val="BodyText"/>
      </w:pPr>
      <w:r>
        <w:rPr>
          <w:lang w:val="fr-FR"/>
        </w:rPr>
        <w:t xml:space="preserve">La signature du présent accord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n’emporte aucun engagement financier pour l’établissement</w:t>
      </w:r>
      <w:r>
        <w:rPr>
          <w:lang w:val="fr-FR"/>
        </w:rPr>
        <w:t xml:space="preserve"> </w:t>
      </w:r>
      <w:r>
        <w:rPr>
          <w:lang w:val="fr-FR"/>
        </w:rPr>
        <w:t xml:space="preserve">et ne conditionne l’accès à aucune fonctionnalité du service. Elle formalise un cadre qui s’applique de plein droit.</w:t>
      </w:r>
    </w:p>
    <w:p>
      <w:r>
        <w:pict>
          <v:rect style="width:0;height:1.5pt" o:hralign="center" o:hrstd="t" o:hr="t"/>
        </w:pict>
      </w:r>
    </w:p>
    <w:bookmarkEnd w:id="9"/>
    <w:bookmarkStart w:id="12" w:name="article-1---définition-des-parties"/>
    <w:p>
      <w:pPr>
        <w:pStyle w:val="Heading2"/>
      </w:pPr>
      <w:r>
        <w:rPr>
          <w:lang w:val="fr-FR"/>
        </w:rPr>
        <w:t xml:space="preserve">Article 1 - Définition des parties</w:t>
      </w:r>
    </w:p>
    <w:bookmarkStart w:id="10" w:name="le-responsable-de-traitement"/>
    <w:p>
      <w:pPr>
        <w:pStyle w:val="Heading3"/>
      </w:pPr>
      <w:r>
        <w:rPr>
          <w:lang w:val="fr-FR"/>
        </w:rPr>
        <w:t xml:space="preserve">LE RESPONSABLE DE TRAITEMENT</w:t>
      </w:r>
    </w:p>
    <w:p>
      <w:pPr>
        <w:pStyle w:val="FirstParagraph"/>
      </w:pPr>
      <w:r>
        <w:rPr>
          <w:lang w:val="fr-FR"/>
        </w:rPr>
        <w:t xml:space="preserve">L’établissement scolaire (représenté par son chef d’établissement ou l’académie pour les établissements publics) qui souscrit au service OrIAntation pour ses élèves et personnels.</w:t>
      </w:r>
    </w:p>
    <w:p>
      <w:pPr>
        <w:pStyle w:val="BodyText"/>
      </w:pPr>
      <w:r>
        <w:rPr>
          <w:b/>
          <w:bCs/>
          <w:lang w:val="fr-FR"/>
        </w:rPr>
        <w:t xml:space="preserve">Nom de l’établissement :</w:t>
      </w:r>
      <w:r>
        <w:rPr>
          <w:lang w:val="fr-FR"/>
        </w:rPr>
        <w:t xml:space="preserve"> </w:t>
      </w:r>
      <w:r>
        <w:rPr>
          <w:lang w:val="fr-FR"/>
        </w:rPr>
        <w:t xml:space="preserve">_______________________________________________</w:t>
      </w:r>
    </w:p>
    <w:p>
      <w:pPr>
        <w:pStyle w:val="BodyText"/>
      </w:pPr>
      <w:r>
        <w:rPr>
          <w:b/>
          <w:bCs/>
          <w:lang w:val="fr-FR"/>
        </w:rPr>
        <w:t xml:space="preserve">Adresse :</w:t>
      </w:r>
      <w:r>
        <w:rPr>
          <w:lang w:val="fr-FR"/>
        </w:rPr>
        <w:t xml:space="preserve"> </w:t>
      </w:r>
      <w:r>
        <w:rPr>
          <w:lang w:val="fr-FR"/>
        </w:rPr>
        <w:t xml:space="preserve">_______________________________________________</w:t>
      </w:r>
    </w:p>
    <w:p>
      <w:pPr>
        <w:pStyle w:val="BodyText"/>
      </w:pPr>
      <w:r>
        <w:rPr>
          <w:b/>
          <w:bCs/>
          <w:lang w:val="fr-FR"/>
        </w:rPr>
        <w:t xml:space="preserve">Code UAI :</w:t>
      </w:r>
      <w:r>
        <w:rPr>
          <w:lang w:val="fr-FR"/>
        </w:rPr>
        <w:t xml:space="preserve"> </w:t>
      </w:r>
      <w:r>
        <w:rPr>
          <w:lang w:val="fr-FR"/>
        </w:rPr>
        <w:t xml:space="preserve">_______________________________________________</w:t>
      </w:r>
    </w:p>
    <w:p>
      <w:pPr>
        <w:pStyle w:val="BodyText"/>
      </w:pPr>
      <w:r>
        <w:rPr>
          <w:b/>
          <w:bCs/>
          <w:lang w:val="fr-FR"/>
        </w:rPr>
        <w:t xml:space="preserve">Représenté par :</w:t>
      </w:r>
      <w:r>
        <w:rPr>
          <w:lang w:val="fr-FR"/>
        </w:rPr>
        <w:t xml:space="preserve"> </w:t>
      </w:r>
      <w:r>
        <w:rPr>
          <w:lang w:val="fr-FR"/>
        </w:rPr>
        <w:t xml:space="preserve">_______________________________________________</w:t>
      </w:r>
    </w:p>
    <w:p>
      <w:pPr>
        <w:pStyle w:val="BodyText"/>
      </w:pPr>
      <w:r>
        <w:rPr>
          <w:b/>
          <w:bCs/>
          <w:lang w:val="fr-FR"/>
        </w:rPr>
        <w:t xml:space="preserve">Fonction :</w:t>
      </w:r>
      <w:r>
        <w:rPr>
          <w:lang w:val="fr-FR"/>
        </w:rPr>
        <w:t xml:space="preserve"> </w:t>
      </w:r>
      <w:r>
        <w:rPr>
          <w:lang w:val="fr-FR"/>
        </w:rPr>
        <w:t xml:space="preserve">_______________________________________________</w:t>
      </w:r>
    </w:p>
    <w:p>
      <w:pPr>
        <w:pStyle w:val="BodyText"/>
      </w:pPr>
      <w:r>
        <w:rPr>
          <w:b/>
          <w:bCs/>
          <w:lang w:val="fr-FR"/>
        </w:rPr>
        <w:t xml:space="preserve">Email :</w:t>
      </w:r>
      <w:r>
        <w:rPr>
          <w:lang w:val="fr-FR"/>
        </w:rPr>
        <w:t xml:space="preserve"> </w:t>
      </w:r>
      <w:r>
        <w:rPr>
          <w:lang w:val="fr-FR"/>
        </w:rPr>
        <w:t xml:space="preserve">_______________________________________________</w:t>
      </w:r>
    </w:p>
    <w:bookmarkEnd w:id="10"/>
    <w:bookmarkStart w:id="11" w:name="le-sous-traitant"/>
    <w:p>
      <w:pPr>
        <w:pStyle w:val="Heading3"/>
      </w:pPr>
      <w:r>
        <w:rPr>
          <w:lang w:val="fr-FR"/>
        </w:rPr>
        <w:t xml:space="preserve">LE SOUS-TRAITANT</w:t>
      </w:r>
    </w:p>
    <w:p>
      <w:pPr>
        <w:pStyle w:val="FirstParagraph"/>
      </w:pPr>
      <w:r>
        <w:rPr>
          <w:b/>
          <w:bCs/>
          <w:lang w:val="fr-FR"/>
        </w:rPr>
        <w:t xml:space="preserve">Thomas Cavil</w:t>
      </w:r>
      <w:r>
        <w:rPr>
          <w:lang w:val="fr-FR"/>
        </w:rPr>
        <w:t xml:space="preserve">, éditeur et développeur du service OrIAntation</w:t>
      </w:r>
    </w:p>
    <w:p>
      <w:pPr>
        <w:pStyle w:val="BodyText"/>
      </w:pPr>
      <w:r>
        <w:rPr>
          <w:lang w:val="fr-FR"/>
        </w:rPr>
        <w:t xml:space="preserve">Entrepreneur individuel, SIREN 904 625 191, 14 rue Traversière, 56690 Landévant</w:t>
      </w:r>
    </w:p>
    <w:p>
      <w:pPr>
        <w:pStyle w:val="BodyText"/>
      </w:pPr>
      <w:r>
        <w:rPr>
          <w:lang w:val="fr-FR"/>
        </w:rPr>
        <w:t xml:space="preserve">Contact : contact@oriantation.fr</w:t>
      </w:r>
    </w:p>
    <w:p>
      <w:pPr>
        <w:pStyle w:val="BodyText"/>
      </w:pPr>
      <w:r>
        <w:rPr>
          <w:lang w:val="fr-FR"/>
        </w:rPr>
        <w:t xml:space="preserve">Site : https://oriantation.fr</w:t>
      </w:r>
    </w:p>
    <w:p>
      <w:pPr>
        <w:pStyle w:val="BodyText"/>
      </w:pPr>
      <w:r>
        <w:rPr>
          <w:lang w:val="fr-FR"/>
        </w:rPr>
        <w:t xml:space="preserve">Ci-après dénommés ensemble « les Parties ».</w:t>
      </w:r>
    </w:p>
    <w:p>
      <w:r>
        <w:pict>
          <v:rect style="width:0;height:1.5pt" o:hralign="center" o:hrstd="t" o:hr="t"/>
        </w:pict>
      </w:r>
    </w:p>
    <w:bookmarkEnd w:id="11"/>
    <w:bookmarkEnd w:id="12"/>
    <w:bookmarkStart w:id="16" w:name="article-2---objet-du-traitement"/>
    <w:p>
      <w:pPr>
        <w:pStyle w:val="Heading2"/>
      </w:pPr>
      <w:r>
        <w:rPr>
          <w:lang w:val="fr-FR"/>
        </w:rPr>
        <w:t xml:space="preserve">Article 2 - Objet du traitement</w:t>
      </w:r>
    </w:p>
    <w:bookmarkStart w:id="13" w:name="nature-et-finalité-du-traitement"/>
    <w:p>
      <w:pPr>
        <w:pStyle w:val="Heading3"/>
      </w:pPr>
      <w:r>
        <w:rPr>
          <w:lang w:val="fr-FR"/>
        </w:rPr>
        <w:t xml:space="preserve">2.1 Nature et finalité du traitement</w:t>
      </w:r>
    </w:p>
    <w:p>
      <w:pPr>
        <w:pStyle w:val="FirstParagraph"/>
      </w:pPr>
      <w:r>
        <w:rPr>
          <w:lang w:val="fr-FR"/>
        </w:rPr>
        <w:t xml:space="preserve">Le Sous-traitant est autorisé à traiter pour le compte du Responsable de traitement les données à caractère personnel nécessaires au fonctionnement du service OrIAntation, application d’aide à l’orientation scolaire utilisant l’intelligence artificielle.</w:t>
      </w:r>
    </w:p>
    <w:bookmarkEnd w:id="13"/>
    <w:bookmarkStart w:id="14" w:name="finalités"/>
    <w:p>
      <w:pPr>
        <w:pStyle w:val="Heading3"/>
      </w:pPr>
      <w:r>
        <w:rPr>
          <w:lang w:val="fr-FR"/>
        </w:rPr>
        <w:t xml:space="preserve">2.2 Finalités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Fournir un service d’accompagnement à l’orientation personnalisé aux élèves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Permettre le suivi pédagogique par les enseignants référents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Générer des recommandations de formations et métiers via l’IA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Assurer la messagerie sécurisée enseignants-élèves</w:t>
      </w:r>
    </w:p>
    <w:p>
      <w:pPr>
        <w:pStyle w:val="Compact"/>
        <w:numPr>
          <w:ilvl w:val="0"/>
          <w:numId w:val="1001"/>
        </w:numPr>
      </w:pPr>
      <w:r>
        <w:rPr>
          <w:lang w:val="fr-FR"/>
        </w:rPr>
        <w:t xml:space="preserve">Produire des statistiques agrégées anonymisées pour l’établissement</w:t>
      </w:r>
    </w:p>
    <w:bookmarkEnd w:id="14"/>
    <w:bookmarkStart w:id="15" w:name="durée-du-traitement"/>
    <w:p>
      <w:pPr>
        <w:pStyle w:val="Heading3"/>
      </w:pPr>
      <w:r>
        <w:rPr>
          <w:lang w:val="fr-FR"/>
        </w:rPr>
        <w:t xml:space="preserve">2.3 Durée du traitement</w:t>
      </w:r>
    </w:p>
    <w:p>
      <w:pPr>
        <w:pStyle w:val="FirstParagraph"/>
      </w:pPr>
      <w:r>
        <w:rPr>
          <w:lang w:val="fr-FR"/>
        </w:rPr>
        <w:t xml:space="preserve">Le traitement est effectué tant qu’au moins un personnel de l’établissement utilise le service dans le cadre de sa mission, que cet usage donne lieu ou non à un abonnement, puis pour la durée de conservation définie à l’article 6.</w:t>
      </w:r>
    </w:p>
    <w:p>
      <w:r>
        <w:pict>
          <v:rect style="width:0;height:1.5pt" o:hralign="center" o:hrstd="t" o:hr="t"/>
        </w:pict>
      </w:r>
    </w:p>
    <w:bookmarkEnd w:id="15"/>
    <w:bookmarkEnd w:id="16"/>
    <w:bookmarkStart w:id="17" w:name="X625e65977d3ce2a3ced9b24105c269df4722acb"/>
    <w:p>
      <w:pPr>
        <w:pStyle w:val="Heading2"/>
      </w:pPr>
      <w:r>
        <w:rPr>
          <w:lang w:val="fr-FR"/>
        </w:rPr>
        <w:t xml:space="preserve">Article 3 - Catégories de données traitées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2251"/>
        <w:gridCol w:w="5395"/>
        <w:gridCol w:w="1991"/>
      </w:tblGrid>
      <w:tr>
        <w:trPr>
          <w:tblHeader w:val="on"/>
        </w:trPr>
        <w:tc>
          <w:tcPr>
            <w:shd w:val="clear" w:color="auto" w:fill="0891B2"/>
            <w:tcW w:type="dxa" w:w="2251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Catégorie</w:t>
            </w:r>
          </w:p>
        </w:tc>
        <w:tc>
          <w:tcPr>
            <w:shd w:val="clear" w:color="auto" w:fill="0891B2"/>
            <w:tcW w:type="dxa" w:w="5395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Données concernées</w:t>
            </w:r>
          </w:p>
        </w:tc>
        <w:tc>
          <w:tcPr>
            <w:shd w:val="clear" w:color="auto" w:fill="0891B2"/>
            <w:tcW w:type="dxa" w:w="1991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Base légale</w:t>
            </w:r>
          </w:p>
        </w:tc>
      </w:tr>
      <w:tr>
        <w:tc>
          <w:tcPr>
            <w:tcW w:type="dxa" w:w="2251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Identification</w:t>
            </w:r>
          </w:p>
        </w:tc>
        <w:tc>
          <w:tcPr>
            <w:tcW w:type="dxa" w:w="5395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Élèves</w:t>
            </w:r>
            <w:r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: prénom et initiale du nom (saisis par l’enseignant, jamais le nom complet), classe, établissement, code d’accès personnel (conservé sous forme de hachage salé, jamais en clair) ; puis, fournis par l’élève à sa première connexion : date de naissance (régime art. 8 : accord parental sous 15 ans), genre, consentement horodaté.</w:t>
            </w:r>
            <w:r>
              <w:rPr>
                <w:lang w:val="fr-FR"/>
              </w:rPr>
              <w:t xml:space="preserve"> </w:t>
            </w:r>
            <w:r>
              <w:rPr>
                <w:b/>
                <w:bCs/>
                <w:lang w:val="fr-FR"/>
              </w:rPr>
              <w:t xml:space="preserve">Adresse email : uniquement si l’élève choisit de l’enregistrer</w:t>
            </w:r>
            <w:r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(facultatif, requis en fin de Terminale pour conserver l’accès au dossier).</w:t>
            </w:r>
            <w:r>
              <w:rPr>
                <w:lang w:val="fr-FR"/>
              </w:rPr>
              <w:t xml:space="preserve"> </w:t>
            </w:r>
            <w:r>
              <w:rPr>
                <w:b/>
                <w:bCs/>
                <w:lang w:val="fr-FR"/>
              </w:rPr>
              <w:t xml:space="preserve">Enseignants</w:t>
            </w:r>
            <w:r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: nom, prénom, adresse académique, genre, établissement, classe</w:t>
            </w:r>
          </w:p>
        </w:tc>
        <w:tc>
          <w:tcPr>
            <w:tcW w:type="dxa" w:w="199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Mission d’intérêt public (6.1.e)</w:t>
            </w:r>
          </w:p>
        </w:tc>
      </w:tr>
      <w:tr>
        <w:tc>
          <w:tcPr>
            <w:tcW w:type="dxa" w:w="2251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Profil orientation</w:t>
            </w:r>
          </w:p>
        </w:tc>
        <w:tc>
          <w:tcPr>
            <w:tcW w:type="dxa" w:w="53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Réponses questionnaires, centres d’intérêt, spécialités</w:t>
            </w:r>
          </w:p>
        </w:tc>
        <w:tc>
          <w:tcPr>
            <w:tcW w:type="dxa" w:w="199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Consentement</w:t>
            </w:r>
          </w:p>
        </w:tc>
      </w:tr>
      <w:tr>
        <w:tc>
          <w:tcPr>
            <w:tcW w:type="dxa" w:w="2251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Journal de bord</w:t>
            </w:r>
          </w:p>
        </w:tc>
        <w:tc>
          <w:tcPr>
            <w:tcW w:type="dxa" w:w="53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Notes personnelles, réflexions, objectifs</w:t>
            </w:r>
          </w:p>
        </w:tc>
        <w:tc>
          <w:tcPr>
            <w:tcW w:type="dxa" w:w="199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Consentement</w:t>
            </w:r>
          </w:p>
        </w:tc>
      </w:tr>
      <w:tr>
        <w:tc>
          <w:tcPr>
            <w:tcW w:type="dxa" w:w="2251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Données académiques</w:t>
            </w:r>
          </w:p>
        </w:tc>
        <w:tc>
          <w:tcPr>
            <w:tcW w:type="dxa" w:w="53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Notes, moyennes (si consentement spécifique)</w:t>
            </w:r>
          </w:p>
        </w:tc>
        <w:tc>
          <w:tcPr>
            <w:tcW w:type="dxa" w:w="199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Consentement explicite</w:t>
            </w:r>
          </w:p>
        </w:tc>
      </w:tr>
      <w:tr>
        <w:tc>
          <w:tcPr>
            <w:tcW w:type="dxa" w:w="2251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Messages</w:t>
            </w:r>
          </w:p>
        </w:tc>
        <w:tc>
          <w:tcPr>
            <w:tcW w:type="dxa" w:w="53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Contenu, horodatage, expéditeur/destinataire</w:t>
            </w:r>
          </w:p>
        </w:tc>
        <w:tc>
          <w:tcPr>
            <w:tcW w:type="dxa" w:w="199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Intérêt légitime (protection mineurs)</w:t>
            </w:r>
          </w:p>
        </w:tc>
      </w:tr>
      <w:tr>
        <w:tc>
          <w:tcPr>
            <w:tcW w:type="dxa" w:w="2251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Données CV</w:t>
            </w:r>
          </w:p>
        </w:tc>
        <w:tc>
          <w:tcPr>
            <w:tcW w:type="dxa" w:w="53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Téléphone, adresse, expériences (optionnel)</w:t>
            </w:r>
          </w:p>
        </w:tc>
        <w:tc>
          <w:tcPr>
            <w:tcW w:type="dxa" w:w="199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Consentement explicite</w:t>
            </w:r>
          </w:p>
        </w:tc>
      </w:tr>
      <w:tr>
        <w:tc>
          <w:tcPr>
            <w:tcW w:type="dxa" w:w="2251"/>
          </w:tcPr>
          <w:tcPr/>
          <w:p>
            <w:pPr>
              <w:pStyle w:val="Compact"/>
            </w:pPr>
            <w:r>
              <w:rPr>
                <w:b/>
                <w:bCs/>
                <w:lang w:val="fr-FR"/>
              </w:rPr>
              <w:t xml:space="preserve">Logs techniques</w:t>
            </w:r>
          </w:p>
        </w:tc>
        <w:tc>
          <w:tcPr>
            <w:tcW w:type="dxa" w:w="53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IP, horodatage connexion, user-agent</w:t>
            </w:r>
          </w:p>
        </w:tc>
        <w:tc>
          <w:tcPr>
            <w:tcW w:type="dxa" w:w="199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Intérêt légitime (sécurité)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7"/>
    <w:bookmarkStart w:id="18" w:name="Xbfeb4695c7aced5977e669d7fcf69e44842d169"/>
    <w:p>
      <w:pPr>
        <w:pStyle w:val="Heading2"/>
      </w:pPr>
      <w:r>
        <w:rPr>
          <w:lang w:val="fr-FR"/>
        </w:rPr>
        <w:t xml:space="preserve">Article 4 - Catégories de personnes concernées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fr-FR"/>
        </w:rPr>
        <w:t xml:space="preserve">Élèves</w:t>
      </w:r>
      <w:r>
        <w:rPr>
          <w:lang w:val="fr-FR"/>
        </w:rPr>
        <w:t xml:space="preserve"> </w:t>
      </w:r>
      <w:r>
        <w:rPr>
          <w:lang w:val="fr-FR"/>
        </w:rPr>
        <w:t xml:space="preserve">: lycéens de Seconde, Première et Terminale inscrits dans l’établissement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fr-FR"/>
        </w:rPr>
        <w:t xml:space="preserve">Enseignants</w:t>
      </w:r>
      <w:r>
        <w:rPr>
          <w:lang w:val="fr-FR"/>
        </w:rPr>
        <w:t xml:space="preserve"> </w:t>
      </w:r>
      <w:r>
        <w:rPr>
          <w:lang w:val="fr-FR"/>
        </w:rPr>
        <w:t xml:space="preserve">: professeurs principaux et référents Parcours Avenir</w:t>
      </w:r>
    </w:p>
    <w:p>
      <w:pPr>
        <w:pStyle w:val="Compact"/>
        <w:numPr>
          <w:ilvl w:val="0"/>
          <w:numId w:val="1002"/>
        </w:numPr>
      </w:pPr>
      <w:r>
        <w:rPr>
          <w:b/>
          <w:bCs/>
          <w:lang w:val="fr-FR"/>
        </w:rPr>
        <w:t xml:space="preserve">Personnel de direction</w:t>
      </w:r>
      <w:r>
        <w:rPr>
          <w:lang w:val="fr-FR"/>
        </w:rPr>
        <w:t xml:space="preserve"> </w:t>
      </w:r>
      <w:r>
        <w:rPr>
          <w:lang w:val="fr-FR"/>
        </w:rPr>
        <w:t xml:space="preserve">: chef d’établissement et adjoints</w:t>
      </w:r>
    </w:p>
    <w:p>
      <w:pPr>
        <w:pStyle w:val="BlockText"/>
      </w:pPr>
      <w:r>
        <w:rPr>
          <w:b/>
          <w:bCs/>
          <w:lang w:val="fr-FR"/>
        </w:rPr>
        <w:t xml:space="preserve">Note importante</w:t>
      </w:r>
      <w:r>
        <w:rPr>
          <w:lang w:val="fr-FR"/>
        </w:rPr>
        <w:t xml:space="preserve"> </w:t>
      </w:r>
      <w:r>
        <w:rPr>
          <w:lang w:val="fr-FR"/>
        </w:rPr>
        <w:t xml:space="preserve">: La majorité des personnes concernées étant des mineurs, des mesures de protection renforcées sont mises en œuvre conformément à l’article 8 du RGPD et aux recommandations de la CNIL.</w:t>
      </w:r>
    </w:p>
    <w:p>
      <w:r>
        <w:pict>
          <v:rect style="width:0;height:1.5pt" o:hralign="center" o:hrstd="t" o:hr="t"/>
        </w:pict>
      </w:r>
    </w:p>
    <w:bookmarkEnd w:id="18"/>
    <w:bookmarkStart w:id="24" w:name="article-5---obligations-du-sous-traitant"/>
    <w:p>
      <w:pPr>
        <w:pStyle w:val="Heading2"/>
      </w:pPr>
      <w:r>
        <w:rPr>
          <w:lang w:val="fr-FR"/>
        </w:rPr>
        <w:t xml:space="preserve">Article 5 - Obligations du Sous-traitant</w:t>
      </w:r>
    </w:p>
    <w:bookmarkStart w:id="19" w:name="traitement-des-données"/>
    <w:p>
      <w:pPr>
        <w:pStyle w:val="Heading3"/>
      </w:pPr>
      <w:r>
        <w:rPr>
          <w:lang w:val="fr-FR"/>
        </w:rPr>
        <w:t xml:space="preserve">5.1 Traitement des données</w:t>
      </w:r>
    </w:p>
    <w:p>
      <w:pPr>
        <w:pStyle w:val="FirstParagraph"/>
      </w:pPr>
      <w:r>
        <w:rPr>
          <w:lang w:val="fr-FR"/>
        </w:rPr>
        <w:t xml:space="preserve">Le Sous-traitant s’engage à :</w:t>
      </w:r>
    </w:p>
    <w:p>
      <w:pPr>
        <w:pStyle w:val="Compact"/>
        <w:numPr>
          <w:ilvl w:val="0"/>
          <w:numId w:val="1003"/>
        </w:numPr>
      </w:pPr>
      <w:r>
        <w:rPr>
          <w:lang w:val="fr-FR"/>
        </w:rPr>
        <w:t xml:space="preserve">Traiter les données uniquement sur instruction documentée du Responsable de traitement</w:t>
      </w:r>
    </w:p>
    <w:p>
      <w:pPr>
        <w:pStyle w:val="Compact"/>
        <w:numPr>
          <w:ilvl w:val="0"/>
          <w:numId w:val="1003"/>
        </w:numPr>
      </w:pPr>
      <w:r>
        <w:rPr>
          <w:lang w:val="fr-FR"/>
        </w:rPr>
        <w:t xml:space="preserve">Ne pas utiliser les données pour ses propres finalités</w:t>
      </w:r>
    </w:p>
    <w:p>
      <w:pPr>
        <w:pStyle w:val="Compact"/>
        <w:numPr>
          <w:ilvl w:val="0"/>
          <w:numId w:val="1003"/>
        </w:numPr>
      </w:pPr>
      <w:r>
        <w:rPr>
          <w:lang w:val="fr-FR"/>
        </w:rPr>
        <w:t xml:space="preserve">Héberger et traiter les données au sein de l’Union Européenne pour l’ensemble du service opérationnel. Le seul transfert hors UE éventuel concerne l’outil de développement et de maintenance (Anthropic, États-Unis, cf. article 5.3) ; il est encadré par les Clauses Contractuelles Types (art. 46.2.c RGPD), n’expose que des données ponctuelles et limitées de débogage, et jamais les journaux, notes, CV ou messages des élèves</w:t>
      </w:r>
    </w:p>
    <w:p>
      <w:pPr>
        <w:pStyle w:val="Compact"/>
        <w:numPr>
          <w:ilvl w:val="0"/>
          <w:numId w:val="1003"/>
        </w:numPr>
      </w:pPr>
      <w:r>
        <w:rPr>
          <w:lang w:val="fr-FR"/>
        </w:rPr>
        <w:t xml:space="preserve">Garantir la confidentialité des données traitées</w:t>
      </w:r>
    </w:p>
    <w:bookmarkEnd w:id="19"/>
    <w:bookmarkStart w:id="20" w:name="personnel-autorisé"/>
    <w:p>
      <w:pPr>
        <w:pStyle w:val="Heading3"/>
      </w:pPr>
      <w:r>
        <w:rPr>
          <w:lang w:val="fr-FR"/>
        </w:rPr>
        <w:t xml:space="preserve">5.2 Personnel autorisé</w:t>
      </w:r>
    </w:p>
    <w:p>
      <w:pPr>
        <w:pStyle w:val="FirstParagraph"/>
      </w:pPr>
      <w:r>
        <w:rPr>
          <w:lang w:val="fr-FR"/>
        </w:rPr>
        <w:t xml:space="preserve">Le Sous-traitant veille à ce que les personnes autorisées à traiter les données :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S’engagent à respecter la confidentialité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Reçoivent une formation sur la protection des données</w:t>
      </w:r>
    </w:p>
    <w:p>
      <w:pPr>
        <w:pStyle w:val="Compact"/>
        <w:numPr>
          <w:ilvl w:val="0"/>
          <w:numId w:val="1004"/>
        </w:numPr>
      </w:pPr>
      <w:r>
        <w:rPr>
          <w:lang w:val="fr-FR"/>
        </w:rPr>
        <w:t xml:space="preserve">N’accèdent qu’aux données strictement nécessaires à leurs fonctions</w:t>
      </w:r>
    </w:p>
    <w:bookmarkEnd w:id="20"/>
    <w:bookmarkStart w:id="21" w:name="sous-traitants-ultérieurs"/>
    <w:p>
      <w:pPr>
        <w:pStyle w:val="Heading3"/>
      </w:pPr>
      <w:r>
        <w:rPr>
          <w:lang w:val="fr-FR"/>
        </w:rPr>
        <w:t xml:space="preserve">5.3 Sous-traitants ultérieurs</w:t>
      </w:r>
    </w:p>
    <w:p>
      <w:pPr>
        <w:pStyle w:val="FirstParagraph"/>
      </w:pPr>
      <w:r>
        <w:rPr>
          <w:lang w:val="fr-FR"/>
        </w:rPr>
        <w:t xml:space="preserve">Le Sous-traitant est autorisé à faire appel aux sous-traitants ultérieurs suivants :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2211"/>
        <w:gridCol w:w="2472"/>
        <w:gridCol w:w="2595"/>
        <w:gridCol w:w="2357"/>
      </w:tblGrid>
      <w:tr>
        <w:trPr>
          <w:tblHeader w:val="on"/>
        </w:trPr>
        <w:tc>
          <w:tcPr>
            <w:shd w:val="clear" w:color="auto" w:fill="0891B2"/>
            <w:tcW w:type="dxa" w:w="2211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Prestataire</w:t>
            </w:r>
          </w:p>
        </w:tc>
        <w:tc>
          <w:tcPr>
            <w:shd w:val="clear" w:color="auto" w:fill="0891B2"/>
            <w:tcW w:type="dxa" w:w="2472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Fonction</w:t>
            </w:r>
          </w:p>
        </w:tc>
        <w:tc>
          <w:tcPr>
            <w:shd w:val="clear" w:color="auto" w:fill="0891B2"/>
            <w:tcW w:type="dxa" w:w="2595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Localisation</w:t>
            </w:r>
          </w:p>
        </w:tc>
        <w:tc>
          <w:tcPr>
            <w:shd w:val="clear" w:color="auto" w:fill="0891B2"/>
            <w:tcW w:type="dxa" w:w="2357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Garanties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Google Firebase</w:t>
            </w:r>
          </w:p>
        </w:tc>
        <w:tc>
          <w:tcPr>
            <w:tcW w:type="dxa" w:w="247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Base de données, authentification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europe-west1 (Belgique)</w:t>
            </w:r>
          </w:p>
        </w:tc>
        <w:tc>
          <w:tcPr>
            <w:tcW w:type="dxa" w:w="2357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DPA Google Cloud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Google Vertex AI</w:t>
            </w:r>
          </w:p>
        </w:tc>
        <w:tc>
          <w:tcPr>
            <w:tcW w:type="dxa" w:w="247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IA générative (Gemini)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europe-west1 (Belgique)</w:t>
            </w:r>
          </w:p>
        </w:tc>
        <w:tc>
          <w:tcPr>
            <w:tcW w:type="dxa" w:w="2357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Pas d’entraînement sur données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Google Cloud Text-to-Speech</w:t>
            </w:r>
          </w:p>
        </w:tc>
        <w:tc>
          <w:tcPr>
            <w:tcW w:type="dxa" w:w="247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Synthèse vocale (entraînement aux oraux)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Endpoint européen (eu-texttospeech)</w:t>
            </w:r>
          </w:p>
        </w:tc>
        <w:tc>
          <w:tcPr>
            <w:tcW w:type="dxa" w:w="2357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DPA Google Cloud ; ne reçoit que le texte à vocaliser, jamais la voix ni les données de l’élève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Netlify</w:t>
            </w:r>
          </w:p>
        </w:tc>
        <w:tc>
          <w:tcPr>
            <w:tcW w:type="dxa" w:w="247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Hébergement frontend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CDN européen</w:t>
            </w:r>
          </w:p>
        </w:tc>
        <w:tc>
          <w:tcPr>
            <w:tcW w:type="dxa" w:w="2357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DPA Netlify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Brevo</w:t>
            </w:r>
          </w:p>
        </w:tc>
        <w:tc>
          <w:tcPr>
            <w:tcW w:type="dxa" w:w="247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Emails transactionnels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France</w:t>
            </w:r>
          </w:p>
        </w:tc>
        <w:tc>
          <w:tcPr>
            <w:tcW w:type="dxa" w:w="2357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Entreprise française RGPD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Resend</w:t>
            </w:r>
          </w:p>
        </w:tc>
        <w:tc>
          <w:tcPr>
            <w:tcW w:type="dxa" w:w="247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Codes administrateur (OTP) et réponses aux demandes de support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Selon DPA Resend</w:t>
            </w:r>
          </w:p>
        </w:tc>
        <w:tc>
          <w:tcPr>
            <w:tcW w:type="dxa" w:w="2357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DPA Resend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Sentry</w:t>
            </w:r>
          </w:p>
        </w:tc>
        <w:tc>
          <w:tcPr>
            <w:tcW w:type="dxa" w:w="247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Supervision des erreurs applicatives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Francfort (Allemagne)</w:t>
            </w:r>
          </w:p>
        </w:tc>
        <w:tc>
          <w:tcPr>
            <w:tcW w:type="dxa" w:w="2357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DPA Sentry, IP anonymisée, SOC 2 Type II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Vercel</w:t>
            </w:r>
          </w:p>
        </w:tc>
        <w:tc>
          <w:tcPr>
            <w:tcW w:type="dxa" w:w="247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Tableau de bord administrateur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Francfort (fra1, Allemagne)</w:t>
            </w:r>
          </w:p>
        </w:tc>
        <w:tc>
          <w:tcPr>
            <w:tcW w:type="dxa" w:w="2357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DPA Vercel ; consultation par les administrateurs autorisés uniquement, aucun stockage persistant</w:t>
            </w:r>
          </w:p>
        </w:tc>
      </w:tr>
      <w:tr>
        <w:tc>
          <w:tcPr>
            <w:tcW w:type="dxa" w:w="2211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Anthropic (Claude Code)</w:t>
            </w:r>
          </w:p>
        </w:tc>
        <w:tc>
          <w:tcPr>
            <w:tcW w:type="dxa" w:w="247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Outil de développement et de maintenance</w:t>
            </w:r>
          </w:p>
        </w:tc>
        <w:tc>
          <w:tcPr>
            <w:tcW w:type="dxa" w:w="259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États-Unis</w:t>
            </w:r>
          </w:p>
        </w:tc>
        <w:tc>
          <w:tcPr>
            <w:tcW w:type="dxa" w:w="2357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Clauses Contractuelles Types (art. 46.2.c) ; pas d’entraînement ; données de débogage limitées</w:t>
            </w:r>
          </w:p>
        </w:tc>
      </w:tr>
    </w:tbl>
    <w:p>
      <w:pPr>
        <w:pStyle w:val="BodyText"/>
      </w:pPr>
      <w:r>
        <w:rPr>
          <w:lang w:val="fr-FR"/>
        </w:rPr>
        <w:t xml:space="preserve">Tout nouveau sous-traitant ultérieur sera notifié au Responsable de traitement avec un délai de 30 jours pour s’y opposer.</w:t>
      </w:r>
    </w:p>
    <w:bookmarkEnd w:id="21"/>
    <w:bookmarkStart w:id="22" w:name="sécurité"/>
    <w:p>
      <w:pPr>
        <w:pStyle w:val="Heading3"/>
      </w:pPr>
      <w:r>
        <w:rPr>
          <w:lang w:val="fr-FR"/>
        </w:rPr>
        <w:t xml:space="preserve">5.4 Sécurité</w:t>
      </w:r>
    </w:p>
    <w:p>
      <w:pPr>
        <w:pStyle w:val="FirstParagraph"/>
      </w:pPr>
      <w:r>
        <w:rPr>
          <w:lang w:val="fr-FR"/>
        </w:rPr>
        <w:t xml:space="preserve">Le Sous-traitant met en œuvre les mesures techniques et organisationnelles suivantes :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Chiffrement des données en transit (HTTPS/TLS 1.3)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Chiffrement des données au repos (AES-256)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Authentification forte pour les accès administrateurs (2FA)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Journalisation des accès aux données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Sauvegardes automatisées quotidiennes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Tests de sécurité réguliers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Protection contre les injections (XSS, SQL, prompt injection)</w:t>
      </w:r>
    </w:p>
    <w:p>
      <w:pPr>
        <w:pStyle w:val="Compact"/>
        <w:numPr>
          <w:ilvl w:val="0"/>
          <w:numId w:val="1005"/>
        </w:numPr>
      </w:pPr>
      <w:r>
        <w:rPr>
          <w:lang w:val="fr-FR"/>
        </w:rPr>
        <w:t xml:space="preserve">Modération automatique IA pour la protection des mineurs</w:t>
      </w:r>
    </w:p>
    <w:bookmarkEnd w:id="22"/>
    <w:bookmarkStart w:id="23" w:name="assistance-au-responsable-de-traitement"/>
    <w:p>
      <w:pPr>
        <w:pStyle w:val="Heading3"/>
      </w:pPr>
      <w:r>
        <w:rPr>
          <w:lang w:val="fr-FR"/>
        </w:rPr>
        <w:t xml:space="preserve">5.5 Assistance au Responsable de traitement</w:t>
      </w:r>
    </w:p>
    <w:p>
      <w:pPr>
        <w:pStyle w:val="FirstParagraph"/>
      </w:pPr>
      <w:r>
        <w:rPr>
          <w:lang w:val="fr-FR"/>
        </w:rPr>
        <w:t xml:space="preserve">Le Sous-traitant aide le Responsable de traitement à :</w:t>
      </w:r>
    </w:p>
    <w:p>
      <w:pPr>
        <w:pStyle w:val="Compact"/>
        <w:numPr>
          <w:ilvl w:val="0"/>
          <w:numId w:val="1006"/>
        </w:numPr>
      </w:pPr>
      <w:r>
        <w:rPr>
          <w:lang w:val="fr-FR"/>
        </w:rPr>
        <w:t xml:space="preserve">Répondre aux demandes d’exercice des droits des personnes (délai : 72h)</w:t>
      </w:r>
    </w:p>
    <w:p>
      <w:pPr>
        <w:pStyle w:val="Compact"/>
        <w:numPr>
          <w:ilvl w:val="0"/>
          <w:numId w:val="1006"/>
        </w:numPr>
      </w:pPr>
      <w:r>
        <w:rPr>
          <w:lang w:val="fr-FR"/>
        </w:rPr>
        <w:t xml:space="preserve">Réaliser les analyses d’impact (AIPD) si nécessaire</w:t>
      </w:r>
    </w:p>
    <w:p>
      <w:pPr>
        <w:pStyle w:val="Compact"/>
        <w:numPr>
          <w:ilvl w:val="0"/>
          <w:numId w:val="1006"/>
        </w:numPr>
      </w:pPr>
      <w:r>
        <w:rPr>
          <w:lang w:val="fr-FR"/>
        </w:rPr>
        <w:t xml:space="preserve">Notifier les violations de données (délai : 24h)</w:t>
      </w:r>
    </w:p>
    <w:p>
      <w:pPr>
        <w:pStyle w:val="Compact"/>
        <w:numPr>
          <w:ilvl w:val="0"/>
          <w:numId w:val="1006"/>
        </w:numPr>
      </w:pPr>
      <w:r>
        <w:rPr>
          <w:lang w:val="fr-FR"/>
        </w:rPr>
        <w:t xml:space="preserve">Assurer la conformité au RGPD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5" w:name="article-6---durée-de-conservation"/>
    <w:p>
      <w:pPr>
        <w:pStyle w:val="Heading2"/>
      </w:pPr>
      <w:r>
        <w:rPr>
          <w:lang w:val="fr-FR"/>
        </w:rPr>
        <w:t xml:space="preserve">Article 6 - Durée de conservation</w:t>
      </w:r>
    </w:p>
    <w:tbl>
      <w:tblPr>
        <w:tblStyle w:val="Table"/>
        <w:tblW w:type="dxa" w:w="9638"/>
        <w:tblLayout w:type="fixed"/>
        <w:tblLook w:firstRow="1" w:lastRow="0" w:firstColumn="0" w:lastColumn="0" w:noHBand="0" w:noVBand="0" w:val="0020"/>
      </w:tblPr>
      <w:tblGrid>
        <w:gridCol w:w="4205"/>
        <w:gridCol w:w="5432"/>
      </w:tblGrid>
      <w:tr>
        <w:trPr>
          <w:tblHeader w:val="on"/>
        </w:trPr>
        <w:tc>
          <w:tcPr>
            <w:shd w:val="clear" w:color="auto" w:fill="0891B2"/>
            <w:tcW w:type="dxa" w:w="4205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Type de données</w:t>
            </w:r>
          </w:p>
        </w:tc>
        <w:tc>
          <w:tcPr>
            <w:shd w:val="clear" w:color="auto" w:fill="0891B2"/>
            <w:tcW w:type="dxa" w:w="5432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Durée de conservation</w:t>
            </w:r>
          </w:p>
        </w:tc>
      </w:tr>
      <w:tr>
        <w:tc>
          <w:tcPr>
            <w:tcW w:type="dxa" w:w="420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Comptes élèves actifs</w:t>
            </w:r>
          </w:p>
        </w:tc>
        <w:tc>
          <w:tcPr>
            <w:tcW w:type="dxa" w:w="543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Durée de la scolarité dans l’établissement</w:t>
            </w:r>
          </w:p>
        </w:tc>
      </w:tr>
      <w:tr>
        <w:tc>
          <w:tcPr>
            <w:tcW w:type="dxa" w:w="420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Comptes élèves après départ</w:t>
            </w:r>
          </w:p>
        </w:tc>
        <w:tc>
          <w:tcPr>
            <w:tcW w:type="dxa" w:w="543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1 an (puis suppression automatique)</w:t>
            </w:r>
          </w:p>
        </w:tc>
      </w:tr>
      <w:tr>
        <w:tc>
          <w:tcPr>
            <w:tcW w:type="dxa" w:w="420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Messages (archives légales)</w:t>
            </w:r>
          </w:p>
        </w:tc>
        <w:tc>
          <w:tcPr>
            <w:tcW w:type="dxa" w:w="543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3 ans après la suppression du compte (protection des mineurs)</w:t>
            </w:r>
          </w:p>
        </w:tc>
      </w:tr>
      <w:tr>
        <w:tc>
          <w:tcPr>
            <w:tcW w:type="dxa" w:w="420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Comptes enseignants inactifs</w:t>
            </w:r>
          </w:p>
        </w:tc>
        <w:tc>
          <w:tcPr>
            <w:tcW w:type="dxa" w:w="543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18 mois puis avertissement + 60 jours</w:t>
            </w:r>
          </w:p>
        </w:tc>
      </w:tr>
      <w:tr>
        <w:tc>
          <w:tcPr>
            <w:tcW w:type="dxa" w:w="4205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Journaux d’audit de suppression</w:t>
            </w:r>
          </w:p>
        </w:tc>
        <w:tc>
          <w:tcPr>
            <w:tcW w:type="dxa" w:w="5432"/>
          </w:tcPr>
          <w:tcPr/>
          <w:p>
            <w:pPr>
              <w:pStyle w:val="Compact"/>
            </w:pPr>
            <w:r>
              <w:rPr>
                <w:lang w:val="fr-FR"/>
              </w:rPr>
              <w:t xml:space="preserve">3 ans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5"/>
    <w:bookmarkStart w:id="26" w:name="Xe3b8e9e7cc40030e0fed8d15cba44415b159d39"/>
    <w:p>
      <w:pPr>
        <w:pStyle w:val="Heading2"/>
      </w:pPr>
      <w:r>
        <w:rPr>
          <w:lang w:val="fr-FR"/>
        </w:rPr>
        <w:t xml:space="preserve">Article 7 - Sort des données en fin de contrat</w:t>
      </w:r>
    </w:p>
    <w:p>
      <w:pPr>
        <w:pStyle w:val="FirstParagraph"/>
      </w:pPr>
      <w:r>
        <w:rPr>
          <w:lang w:val="fr-FR"/>
        </w:rPr>
        <w:t xml:space="preserve">À l’issue de la prestation ou en cas de résiliation 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  <w:lang w:val="fr-FR"/>
        </w:rPr>
        <w:t xml:space="preserve">Export</w:t>
      </w:r>
      <w:r>
        <w:rPr>
          <w:lang w:val="fr-FR"/>
        </w:rPr>
        <w:t xml:space="preserve"> </w:t>
      </w:r>
      <w:r>
        <w:rPr>
          <w:lang w:val="fr-FR"/>
        </w:rPr>
        <w:t xml:space="preserve">: Le Sous-traitant fournit au Responsable de traitement l’ensemble des données dans un format structuré (JSON/CSV) sous 30 jours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  <w:lang w:val="fr-FR"/>
        </w:rPr>
        <w:t xml:space="preserve">Suppression</w:t>
      </w:r>
      <w:r>
        <w:rPr>
          <w:lang w:val="fr-FR"/>
        </w:rPr>
        <w:t xml:space="preserve"> </w:t>
      </w:r>
      <w:r>
        <w:rPr>
          <w:lang w:val="fr-FR"/>
        </w:rPr>
        <w:t xml:space="preserve">: Après confirmation de réception, les données sont supprimées des systèmes du Sous-traitant sous 30 jours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  <w:lang w:val="fr-FR"/>
        </w:rPr>
        <w:t xml:space="preserve">Attestation</w:t>
      </w:r>
      <w:r>
        <w:rPr>
          <w:lang w:val="fr-FR"/>
        </w:rPr>
        <w:t xml:space="preserve"> </w:t>
      </w:r>
      <w:r>
        <w:rPr>
          <w:lang w:val="fr-FR"/>
        </w:rPr>
        <w:t xml:space="preserve">: Une attestation de suppression est fournie sur demande</w:t>
      </w:r>
    </w:p>
    <w:p>
      <w:pPr>
        <w:pStyle w:val="BlockText"/>
      </w:pPr>
      <w:r>
        <w:rPr>
          <w:b/>
          <w:bCs/>
          <w:lang w:val="fr-FR"/>
        </w:rPr>
        <w:t xml:space="preserve">Exception</w:t>
      </w:r>
      <w:r>
        <w:rPr>
          <w:lang w:val="fr-FR"/>
        </w:rPr>
        <w:t xml:space="preserve"> </w:t>
      </w:r>
      <w:r>
        <w:rPr>
          <w:lang w:val="fr-FR"/>
        </w:rPr>
        <w:t xml:space="preserve">: Les archives légales (messages, notes) sont conservées selon les durées légales puis supprimées automatiquement.</w:t>
      </w:r>
    </w:p>
    <w:p>
      <w:r>
        <w:pict>
          <v:rect style="width:0;height:1.5pt" o:hralign="center" o:hrstd="t" o:hr="t"/>
        </w:pict>
      </w:r>
    </w:p>
    <w:bookmarkEnd w:id="26"/>
    <w:bookmarkStart w:id="27" w:name="article-8---notification-des-violations"/>
    <w:p>
      <w:pPr>
        <w:pStyle w:val="Heading2"/>
      </w:pPr>
      <w:r>
        <w:rPr>
          <w:lang w:val="fr-FR"/>
        </w:rPr>
        <w:t xml:space="preserve">Article 8 - Notification des violations</w:t>
      </w:r>
    </w:p>
    <w:p>
      <w:pPr>
        <w:pStyle w:val="FirstParagraph"/>
      </w:pPr>
      <w:r>
        <w:rPr>
          <w:lang w:val="fr-FR"/>
        </w:rPr>
        <w:t xml:space="preserve">En cas de violation de données à caractère personnel, le Sous-traitant s’engage à :</w:t>
      </w:r>
    </w:p>
    <w:p>
      <w:pPr>
        <w:pStyle w:val="Compact"/>
        <w:numPr>
          <w:ilvl w:val="0"/>
          <w:numId w:val="1008"/>
        </w:numPr>
      </w:pPr>
      <w:r>
        <w:rPr>
          <w:lang w:val="fr-FR"/>
        </w:rPr>
        <w:t xml:space="preserve">Notifier le Responsable de traitement dans un délai de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24 heures</w:t>
      </w:r>
    </w:p>
    <w:p>
      <w:pPr>
        <w:pStyle w:val="Compact"/>
        <w:numPr>
          <w:ilvl w:val="0"/>
          <w:numId w:val="1008"/>
        </w:numPr>
      </w:pPr>
      <w:r>
        <w:rPr>
          <w:lang w:val="fr-FR"/>
        </w:rPr>
        <w:t xml:space="preserve">Fournir toutes les informations nécessaires (nature, catégories de données, mesures prises)</w:t>
      </w:r>
    </w:p>
    <w:p>
      <w:pPr>
        <w:pStyle w:val="Compact"/>
        <w:numPr>
          <w:ilvl w:val="0"/>
          <w:numId w:val="1008"/>
        </w:numPr>
      </w:pPr>
      <w:r>
        <w:rPr>
          <w:lang w:val="fr-FR"/>
        </w:rPr>
        <w:t xml:space="preserve">Coopérer à la notification à la CNIL si nécessaire</w:t>
      </w:r>
    </w:p>
    <w:p>
      <w:pPr>
        <w:pStyle w:val="Compact"/>
        <w:numPr>
          <w:ilvl w:val="0"/>
          <w:numId w:val="1008"/>
        </w:numPr>
      </w:pPr>
      <w:r>
        <w:rPr>
          <w:lang w:val="fr-FR"/>
        </w:rPr>
        <w:t xml:space="preserve">Documenter l’incident dans un registre des violations</w:t>
      </w:r>
    </w:p>
    <w:p>
      <w:r>
        <w:pict>
          <v:rect style="width:0;height:1.5pt" o:hralign="center" o:hrstd="t" o:hr="t"/>
        </w:pict>
      </w:r>
    </w:p>
    <w:bookmarkEnd w:id="27"/>
    <w:bookmarkStart w:id="28" w:name="article-9---audit-et-contrôle"/>
    <w:p>
      <w:pPr>
        <w:pStyle w:val="Heading2"/>
      </w:pPr>
      <w:r>
        <w:rPr>
          <w:lang w:val="fr-FR"/>
        </w:rPr>
        <w:t xml:space="preserve">Article 9 - Audit et contrôle</w:t>
      </w:r>
    </w:p>
    <w:p>
      <w:pPr>
        <w:pStyle w:val="FirstParagraph"/>
      </w:pPr>
      <w:r>
        <w:rPr>
          <w:lang w:val="fr-FR"/>
        </w:rPr>
        <w:t xml:space="preserve">Le Responsable de traitement peut :</w:t>
      </w:r>
    </w:p>
    <w:p>
      <w:pPr>
        <w:pStyle w:val="Compact"/>
        <w:numPr>
          <w:ilvl w:val="0"/>
          <w:numId w:val="1009"/>
        </w:numPr>
      </w:pPr>
      <w:r>
        <w:rPr>
          <w:lang w:val="fr-FR"/>
        </w:rPr>
        <w:t xml:space="preserve">Demander toute information sur les traitements effectués</w:t>
      </w:r>
    </w:p>
    <w:p>
      <w:pPr>
        <w:pStyle w:val="Compact"/>
        <w:numPr>
          <w:ilvl w:val="0"/>
          <w:numId w:val="1009"/>
        </w:numPr>
      </w:pPr>
      <w:r>
        <w:rPr>
          <w:lang w:val="fr-FR"/>
        </w:rPr>
        <w:t xml:space="preserve">Réaliser ou faire réaliser des audits (avec préavis de 15 jours)</w:t>
      </w:r>
    </w:p>
    <w:p>
      <w:pPr>
        <w:pStyle w:val="Compact"/>
        <w:numPr>
          <w:ilvl w:val="0"/>
          <w:numId w:val="1009"/>
        </w:numPr>
      </w:pPr>
      <w:r>
        <w:rPr>
          <w:lang w:val="fr-FR"/>
        </w:rPr>
        <w:t xml:space="preserve">Accéder aux locaux et systèmes du Sous-traitant pour vérification</w:t>
      </w:r>
    </w:p>
    <w:p>
      <w:pPr>
        <w:pStyle w:val="FirstParagraph"/>
      </w:pPr>
      <w:r>
        <w:rPr>
          <w:lang w:val="fr-FR"/>
        </w:rPr>
        <w:t xml:space="preserve">Le Sous-traitant s’engage à mettre à disposition les informations nécessaires pour démontrer le respect des obligations.</w:t>
      </w:r>
    </w:p>
    <w:p>
      <w:r>
        <w:pict>
          <v:rect style="width:0;height:1.5pt" o:hralign="center" o:hrstd="t" o:hr="t"/>
        </w:pict>
      </w:r>
    </w:p>
    <w:bookmarkEnd w:id="28"/>
    <w:bookmarkStart w:id="30" w:name="Xec0de3bdaa0727535d91628062b67d4898bca34"/>
    <w:p>
      <w:pPr>
        <w:pStyle w:val="Heading2"/>
      </w:pPr>
      <w:r>
        <w:rPr>
          <w:lang w:val="fr-FR"/>
        </w:rPr>
        <w:t xml:space="preserve">Article 10 - Obligations du Responsable de traitement</w:t>
      </w:r>
    </w:p>
    <w:p>
      <w:pPr>
        <w:pStyle w:val="FirstParagraph"/>
      </w:pPr>
      <w:r>
        <w:rPr>
          <w:lang w:val="fr-FR"/>
        </w:rPr>
        <w:t xml:space="preserve">Le Responsable de traitement s’engage à :</w:t>
      </w:r>
    </w:p>
    <w:p>
      <w:pPr>
        <w:pStyle w:val="Compact"/>
        <w:numPr>
          <w:ilvl w:val="0"/>
          <w:numId w:val="1010"/>
        </w:numPr>
      </w:pPr>
      <w:r>
        <w:rPr>
          <w:lang w:val="fr-FR"/>
        </w:rPr>
        <w:t xml:space="preserve">Informer les personnes concernées (élèves, parents, enseignants) du traitement</w:t>
      </w:r>
    </w:p>
    <w:p>
      <w:pPr>
        <w:pStyle w:val="Compact"/>
        <w:numPr>
          <w:ilvl w:val="0"/>
          <w:numId w:val="1010"/>
        </w:numPr>
      </w:pPr>
      <w:r>
        <w:rPr>
          <w:lang w:val="fr-FR"/>
        </w:rPr>
        <w:t xml:space="preserve">Recueillir les consentements nécessaires</w:t>
      </w:r>
    </w:p>
    <w:p>
      <w:pPr>
        <w:pStyle w:val="Compact"/>
        <w:numPr>
          <w:ilvl w:val="0"/>
          <w:numId w:val="1010"/>
        </w:numPr>
      </w:pPr>
      <w:r>
        <w:rPr>
          <w:lang w:val="fr-FR"/>
        </w:rPr>
        <w:t xml:space="preserve">Inscrire le traitement au registre des activités de traitement</w:t>
      </w:r>
    </w:p>
    <w:p>
      <w:pPr>
        <w:pStyle w:val="Compact"/>
        <w:numPr>
          <w:ilvl w:val="0"/>
          <w:numId w:val="1010"/>
        </w:numPr>
      </w:pPr>
      <w:r>
        <w:rPr>
          <w:lang w:val="fr-FR"/>
        </w:rPr>
        <w:t xml:space="preserve">Réaliser l’analyse d’impact si nécessaire (article 35 RGPD)</w:t>
      </w:r>
    </w:p>
    <w:p>
      <w:pPr>
        <w:pStyle w:val="Compact"/>
        <w:numPr>
          <w:ilvl w:val="0"/>
          <w:numId w:val="1010"/>
        </w:numPr>
      </w:pPr>
      <w:r>
        <w:rPr>
          <w:lang w:val="fr-FR"/>
        </w:rPr>
        <w:t xml:space="preserve">Désigner un DPO ou référent RGPD</w:t>
      </w:r>
    </w:p>
    <w:p>
      <w:pPr>
        <w:pStyle w:val="Compact"/>
        <w:numPr>
          <w:ilvl w:val="0"/>
          <w:numId w:val="1010"/>
        </w:numPr>
      </w:pPr>
      <w:r>
        <w:rPr>
          <w:lang w:val="fr-FR"/>
        </w:rPr>
        <w:t xml:space="preserve">Notifier au Sous-traitant toute instruction concernant le traitement</w:t>
      </w:r>
    </w:p>
    <w:bookmarkStart w:id="29" w:name="règlement-ia-ai-act"/>
    <w:p>
      <w:pPr>
        <w:pStyle w:val="Heading3"/>
      </w:pPr>
      <w:r>
        <w:rPr>
          <w:lang w:val="fr-FR"/>
        </w:rPr>
        <w:t xml:space="preserve">Règlement IA (AI Act)</w:t>
      </w:r>
    </w:p>
    <w:p>
      <w:pPr>
        <w:pStyle w:val="FirstParagraph"/>
      </w:pPr>
      <w:r>
        <w:rPr>
          <w:lang w:val="fr-FR"/>
        </w:rPr>
        <w:t xml:space="preserve">OrIAntation utilisant l’IA dans un contexte éducatif :</w:t>
      </w:r>
    </w:p>
    <w:p>
      <w:pPr>
        <w:pStyle w:val="Compact"/>
        <w:numPr>
          <w:ilvl w:val="0"/>
          <w:numId w:val="1011"/>
        </w:numPr>
      </w:pPr>
      <w:r>
        <w:rPr>
          <w:lang w:val="fr-FR"/>
        </w:rPr>
        <w:t xml:space="preserve">Le Responsable de traitement est le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déployeur</w:t>
      </w:r>
      <w:r>
        <w:rPr>
          <w:lang w:val="fr-FR"/>
        </w:rPr>
        <w:t xml:space="preserve"> </w:t>
      </w:r>
      <w:r>
        <w:rPr>
          <w:lang w:val="fr-FR"/>
        </w:rPr>
        <w:t xml:space="preserve">au sens du RIA</w:t>
      </w:r>
    </w:p>
    <w:p>
      <w:pPr>
        <w:pStyle w:val="Compact"/>
        <w:numPr>
          <w:ilvl w:val="0"/>
          <w:numId w:val="1011"/>
        </w:numPr>
      </w:pPr>
      <w:r>
        <w:rPr>
          <w:lang w:val="fr-FR"/>
        </w:rPr>
        <w:t xml:space="preserve">L’éditeur (Sous-traitant) est le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fournisseur</w:t>
      </w:r>
    </w:p>
    <w:p>
      <w:pPr>
        <w:pStyle w:val="Compact"/>
        <w:numPr>
          <w:ilvl w:val="0"/>
          <w:numId w:val="1011"/>
        </w:numPr>
      </w:pPr>
      <w:r>
        <w:rPr>
          <w:lang w:val="fr-FR"/>
        </w:rPr>
        <w:t xml:space="preserve">L’analyse d’impact RIA incombe au déployeur (établissement)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1" w:name="article-11---responsabilité"/>
    <w:p>
      <w:pPr>
        <w:pStyle w:val="Heading2"/>
      </w:pPr>
      <w:r>
        <w:rPr>
          <w:lang w:val="fr-FR"/>
        </w:rPr>
        <w:t xml:space="preserve">Article 11 - Responsabilité</w:t>
      </w:r>
    </w:p>
    <w:p>
      <w:pPr>
        <w:pStyle w:val="FirstParagraph"/>
      </w:pPr>
      <w:r>
        <w:rPr>
          <w:lang w:val="fr-FR"/>
        </w:rPr>
        <w:t xml:space="preserve">Chaque Partie est responsable des dommages causés par un traitement non conforme au RGPD.</w:t>
      </w:r>
    </w:p>
    <w:p>
      <w:pPr>
        <w:pStyle w:val="BodyText"/>
      </w:pPr>
      <w:r>
        <w:rPr>
          <w:lang w:val="fr-FR"/>
        </w:rPr>
        <w:t xml:space="preserve">Le Sous-traitant ne répond des dommages que s’il n’a pas respecté ses obligations spécifiques ou s’il a agi en dehors des instructions du Responsable de traitement.</w:t>
      </w:r>
    </w:p>
    <w:p>
      <w:r>
        <w:pict>
          <v:rect style="width:0;height:1.5pt" o:hralign="center" o:hrstd="t" o:hr="t"/>
        </w:pict>
      </w:r>
    </w:p>
    <w:bookmarkEnd w:id="31"/>
    <w:bookmarkStart w:id="32" w:name="article-12---droit-applicable"/>
    <w:p>
      <w:pPr>
        <w:pStyle w:val="Heading2"/>
      </w:pPr>
      <w:r>
        <w:rPr>
          <w:lang w:val="fr-FR"/>
        </w:rPr>
        <w:t xml:space="preserve">Article 12 - Droit applicable</w:t>
      </w:r>
    </w:p>
    <w:p>
      <w:pPr>
        <w:pStyle w:val="FirstParagraph"/>
      </w:pPr>
      <w:r>
        <w:rPr>
          <w:lang w:val="fr-FR"/>
        </w:rPr>
        <w:t xml:space="preserve">Le présent accord est soumis au droit français. En cas de litige, les tribunaux français sont compétents.</w:t>
      </w:r>
    </w:p>
    <w:p>
      <w:r>
        <w:pict>
          <v:rect style="width:0;height:1.5pt" o:hralign="center" o:hrstd="t" o:hr="t"/>
        </w:pict>
      </w:r>
    </w:p>
    <w:bookmarkEnd w:id="32"/>
    <w:bookmarkStart w:id="33" w:name="X2f6d7fb32b1d79d7d04fdaa10ee80e5329c0e41"/>
    <w:p>
      <w:pPr>
        <w:pStyle w:val="Heading2"/>
      </w:pPr>
      <w:r>
        <w:rPr>
          <w:lang w:val="fr-FR"/>
        </w:rPr>
        <w:t xml:space="preserve">Article 13 - Signature, entrée en vigueur et dénonciation</w:t>
      </w:r>
    </w:p>
    <w:p>
      <w:pPr>
        <w:pStyle w:val="FirstParagraph"/>
      </w:pPr>
      <w:r>
        <w:rPr>
          <w:lang w:val="fr-FR"/>
        </w:rPr>
        <w:t xml:space="preserve">Le présent accord entre en vigueur à la date de signature par les deux Parties. Il reste valable tant qu’au moins un personnel de l’établissement utilise le service, que cet usage donne lieu ou non à un abonnement.</w:t>
      </w:r>
    </w:p>
    <w:p>
      <w:pPr>
        <w:pStyle w:val="BodyText"/>
      </w:pPr>
      <w:r>
        <w:rPr>
          <w:lang w:val="fr-FR"/>
        </w:rPr>
        <w:t xml:space="preserve">Il peut être signé sur support papier ou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par voie électronique</w:t>
      </w:r>
      <w:r>
        <w:rPr>
          <w:lang w:val="fr-FR"/>
        </w:rPr>
        <w:t xml:space="preserve">. L’article 28.9 du RGPD prévoit expressément que ce contrat se conclut « sous une forme écrite, y compris sous forme électronique ».</w:t>
      </w:r>
    </w:p>
    <w:p>
      <w:pPr>
        <w:pStyle w:val="BodyText"/>
      </w:pPr>
      <w:r>
        <w:rPr>
          <w:lang w:val="fr-FR"/>
        </w:rPr>
        <w:t xml:space="preserve">Chacune des Parties peut y mettre fin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à tout moment</w:t>
      </w:r>
      <w:r>
        <w:rPr>
          <w:lang w:val="fr-FR"/>
        </w:rPr>
        <w:t xml:space="preserve">, par simple notification écrite adressée à l’autre Partie, courriel suffisant, avec un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préavis d’un mois</w:t>
      </w:r>
      <w:r>
        <w:rPr>
          <w:lang w:val="fr-FR"/>
        </w:rPr>
        <w:t xml:space="preserve">. La dénonciation ouvre l’application de l’article 7 (sort des données en fin de contrat). L’exemplaire signé demeure conservé par le Sous-traitant : il fait foi de la période couverte.</w:t>
      </w:r>
    </w:p>
    <w:p>
      <w:r>
        <w:pict>
          <v:rect style="width:0;height:1.5pt" o:hralign="center" o:hrstd="t" o:hr="t"/>
        </w:pict>
      </w:r>
    </w:p>
    <w:bookmarkEnd w:id="33"/>
    <w:bookmarkStart w:id="36" w:name="signatures"/>
    <w:p>
      <w:pPr>
        <w:pStyle w:val="Heading2"/>
      </w:pPr>
      <w:r>
        <w:rPr>
          <w:lang w:val="fr-FR"/>
        </w:rPr>
        <w:t xml:space="preserve">Signatures</w:t>
      </w:r>
    </w:p>
    <w:bookmarkStart w:id="34" w:name="X978a674f16e6149e87f733d3d9b4395d83e8393"/>
    <w:p>
      <w:pPr>
        <w:pStyle w:val="Heading3"/>
      </w:pPr>
      <w:r>
        <w:rPr>
          <w:lang w:val="fr-FR"/>
        </w:rPr>
        <w:t xml:space="preserve">Pour le Responsable de traitement (Établissement)</w:t>
      </w:r>
    </w:p>
    <w:p>
      <w:pPr>
        <w:pStyle w:val="FirstParagraph"/>
      </w:pPr>
      <w:r>
        <w:rPr>
          <w:b/>
          <w:bCs/>
          <w:lang w:val="fr-FR"/>
        </w:rPr>
        <w:t xml:space="preserve">Nom et prénom :</w:t>
      </w:r>
      <w:r>
        <w:rPr>
          <w:lang w:val="fr-FR"/>
        </w:rPr>
        <w:t xml:space="preserve"> </w:t>
      </w:r>
      <w:r>
        <w:rPr>
          <w:lang w:val="fr-FR"/>
        </w:rPr>
        <w:t xml:space="preserve">_______________________________________________</w:t>
      </w:r>
    </w:p>
    <w:p>
      <w:pPr>
        <w:pStyle w:val="BodyText"/>
      </w:pPr>
      <w:r>
        <w:rPr>
          <w:b/>
          <w:bCs/>
          <w:lang w:val="fr-FR"/>
        </w:rPr>
        <w:t xml:space="preserve">Fonction :</w:t>
      </w:r>
      <w:r>
        <w:rPr>
          <w:lang w:val="fr-FR"/>
        </w:rPr>
        <w:t xml:space="preserve"> </w:t>
      </w:r>
      <w:r>
        <w:rPr>
          <w:lang w:val="fr-FR"/>
        </w:rPr>
        <w:t xml:space="preserve">_______________________________________________</w:t>
      </w:r>
    </w:p>
    <w:p>
      <w:pPr>
        <w:pStyle w:val="BodyText"/>
      </w:pPr>
      <w:r>
        <w:rPr>
          <w:b/>
          <w:bCs/>
          <w:lang w:val="fr-FR"/>
        </w:rPr>
        <w:t xml:space="preserve">Date :</w:t>
      </w:r>
      <w:r>
        <w:rPr>
          <w:lang w:val="fr-FR"/>
        </w:rPr>
        <w:t xml:space="preserve"> </w:t>
      </w:r>
      <w:r>
        <w:rPr>
          <w:lang w:val="fr-FR"/>
        </w:rPr>
        <w:t xml:space="preserve">_______________________________________________</w:t>
      </w:r>
    </w:p>
    <w:p>
      <w:pPr>
        <w:pStyle w:val="BodyText"/>
      </w:pPr>
      <w:r>
        <w:rPr>
          <w:b/>
          <w:bCs/>
          <w:lang w:val="fr-FR"/>
        </w:rPr>
        <w:t xml:space="preserve">Signature :</w:t>
      </w:r>
    </w:p>
    <w:bookmarkEnd w:id="34"/>
    <w:bookmarkStart w:id="35" w:name="pour-le-sous-traitant-oriantation"/>
    <w:p>
      <w:pPr>
        <w:pStyle w:val="Heading3"/>
      </w:pPr>
      <w:r>
        <w:rPr>
          <w:lang w:val="fr-FR"/>
        </w:rPr>
        <w:t xml:space="preserve">Pour le Sous-traitant (OrIAntation)</w:t>
      </w:r>
    </w:p>
    <w:p>
      <w:pPr>
        <w:pStyle w:val="FirstParagraph"/>
      </w:pPr>
      <w:r>
        <w:rPr>
          <w:b/>
          <w:bCs/>
          <w:lang w:val="fr-FR"/>
        </w:rPr>
        <w:t xml:space="preserve">Nom et prénom :</w:t>
      </w:r>
      <w:r>
        <w:rPr>
          <w:lang w:val="fr-FR"/>
        </w:rPr>
        <w:t xml:space="preserve"> </w:t>
      </w:r>
      <w:r>
        <w:rPr>
          <w:lang w:val="fr-FR"/>
        </w:rPr>
        <w:t xml:space="preserve">Thomas Cavil</w:t>
      </w:r>
    </w:p>
    <w:p>
      <w:pPr>
        <w:pStyle w:val="BodyText"/>
      </w:pPr>
      <w:r>
        <w:rPr>
          <w:b/>
          <w:bCs/>
          <w:lang w:val="fr-FR"/>
        </w:rPr>
        <w:t xml:space="preserve">Fonction :</w:t>
      </w:r>
      <w:r>
        <w:rPr>
          <w:lang w:val="fr-FR"/>
        </w:rPr>
        <w:t xml:space="preserve"> </w:t>
      </w:r>
      <w:r>
        <w:rPr>
          <w:lang w:val="fr-FR"/>
        </w:rPr>
        <w:t xml:space="preserve">Éditeur d’OrIAntation</w:t>
      </w:r>
    </w:p>
    <w:p>
      <w:pPr>
        <w:pStyle w:val="BodyText"/>
      </w:pPr>
      <w:r>
        <w:rPr>
          <w:b/>
          <w:bCs/>
          <w:lang w:val="fr-FR"/>
        </w:rPr>
        <w:t xml:space="preserve">Date :</w:t>
      </w:r>
      <w:r>
        <w:rPr>
          <w:lang w:val="fr-FR"/>
        </w:rPr>
        <w:t xml:space="preserve"> </w:t>
      </w:r>
      <w:r>
        <w:rPr>
          <w:lang w:val="fr-FR"/>
        </w:rPr>
        <w:t xml:space="preserve">_______________________________________________</w:t>
      </w:r>
    </w:p>
    <w:p>
      <w:pPr>
        <w:pStyle w:val="BodyText"/>
      </w:pPr>
      <w:r>
        <w:rPr>
          <w:b/>
          <w:bCs/>
          <w:lang w:val="fr-FR"/>
        </w:rPr>
        <w:t xml:space="preserve">Signature :</w:t>
      </w:r>
    </w:p>
    <w:p>
      <w:r>
        <w:pict>
          <v:rect style="width:0;height:1.5pt" o:hralign="center" o:hrstd="t" o:hr="t"/>
        </w:pict>
      </w:r>
    </w:p>
    <w:bookmarkEnd w:id="35"/>
    <w:bookmarkEnd w:id="36"/>
    <w:bookmarkStart w:id="37" w:name="annexe-a---contact-dpo-référent-rgpd"/>
    <w:p>
      <w:pPr>
        <w:pStyle w:val="Heading2"/>
      </w:pPr>
      <w:r>
        <w:rPr>
          <w:lang w:val="fr-FR"/>
        </w:rPr>
        <w:t xml:space="preserve">Annexe A - Contact DPO / Référent RGPD</w:t>
      </w:r>
    </w:p>
    <w:p>
      <w:pPr>
        <w:pStyle w:val="FirstParagraph"/>
      </w:pPr>
      <w:r>
        <w:rPr>
          <w:b/>
          <w:bCs/>
          <w:lang w:val="fr-FR"/>
        </w:rPr>
        <w:t xml:space="preserve">Sous-traitant (OrIAntation)</w:t>
      </w:r>
    </w:p>
    <w:p>
      <w:pPr>
        <w:pStyle w:val="BodyText"/>
      </w:pPr>
      <w:r>
        <w:rPr>
          <w:lang w:val="fr-FR"/>
        </w:rPr>
        <w:t xml:space="preserve">Référent protection des données : Thomas Cavil</w:t>
      </w:r>
    </w:p>
    <w:p>
      <w:pPr>
        <w:pStyle w:val="BodyText"/>
      </w:pPr>
      <w:r>
        <w:rPr>
          <w:lang w:val="fr-FR"/>
        </w:rPr>
        <w:t xml:space="preserve">Email : contact@oriantation.fr</w:t>
      </w:r>
    </w:p>
    <w:p>
      <w:pPr>
        <w:pStyle w:val="BodyText"/>
      </w:pPr>
      <w:r>
        <w:rPr>
          <w:b/>
          <w:bCs/>
          <w:lang w:val="fr-FR"/>
        </w:rPr>
        <w:t xml:space="preserve">Responsable de traitement (Établissement)</w:t>
      </w:r>
    </w:p>
    <w:p>
      <w:pPr>
        <w:pStyle w:val="BodyText"/>
      </w:pPr>
      <w:r>
        <w:rPr>
          <w:lang w:val="fr-FR"/>
        </w:rPr>
        <w:t xml:space="preserve">DPO académique ou référent RGPD : _______________________________________________</w:t>
      </w:r>
    </w:p>
    <w:p>
      <w:pPr>
        <w:pStyle w:val="BodyText"/>
      </w:pPr>
      <w:r>
        <w:rPr>
          <w:lang w:val="fr-FR"/>
        </w:rPr>
        <w:t xml:space="preserve">Email : _______________________________________________</w:t>
      </w:r>
    </w:p>
    <w:p>
      <w:r>
        <w:pict>
          <v:rect style="width:0;height:1.5pt" o:hralign="center" o:hrstd="t" o:hr="t"/>
        </w:pict>
      </w:r>
    </w:p>
    <w:bookmarkEnd w:id="37"/>
    <w:bookmarkStart w:id="38" w:name="annexe-b---documents-de-référence"/>
    <w:p>
      <w:pPr>
        <w:pStyle w:val="Heading2"/>
      </w:pPr>
      <w:r>
        <w:rPr>
          <w:lang w:val="fr-FR"/>
        </w:rPr>
        <w:t xml:space="preserve">Annexe B - Documents de référence</w:t>
      </w:r>
    </w:p>
    <w:p>
      <w:pPr>
        <w:pStyle w:val="Compact"/>
        <w:numPr>
          <w:ilvl w:val="0"/>
          <w:numId w:val="1012"/>
        </w:numPr>
      </w:pPr>
      <w:r>
        <w:rPr>
          <w:lang w:val="fr-FR"/>
        </w:rPr>
        <w:t xml:space="preserve">Politique de confidentialité OrIAntation : https://oriantation.fr/guides/confidentialite.html</w:t>
      </w:r>
    </w:p>
    <w:p>
      <w:pPr>
        <w:pStyle w:val="Compact"/>
        <w:numPr>
          <w:ilvl w:val="0"/>
          <w:numId w:val="1012"/>
        </w:numPr>
      </w:pPr>
      <w:r>
        <w:rPr>
          <w:lang w:val="fr-FR"/>
        </w:rPr>
        <w:t xml:space="preserve">Mentions légales et CGU : https://oriantation.fr/guides/mentions-legales.html</w:t>
      </w:r>
    </w:p>
    <w:p>
      <w:pPr>
        <w:pStyle w:val="Compact"/>
        <w:numPr>
          <w:ilvl w:val="0"/>
          <w:numId w:val="1012"/>
        </w:numPr>
      </w:pPr>
      <w:r>
        <w:rPr>
          <w:lang w:val="fr-FR"/>
        </w:rPr>
        <w:t xml:space="preserve">Mode d’emploi du kit établissement : https://oriantation.fr/documents/kit-etablissement-mode-demploi.pdf</w:t>
      </w:r>
    </w:p>
    <w:p>
      <w:pPr>
        <w:pStyle w:val="Compact"/>
        <w:numPr>
          <w:ilvl w:val="0"/>
          <w:numId w:val="1012"/>
        </w:numPr>
      </w:pPr>
      <w:r>
        <w:rPr>
          <w:lang w:val="fr-FR"/>
        </w:rPr>
        <w:t xml:space="preserve">Modèle d’AIPD pré-rempli pour l’établissement (article 35 RGPD) : https://oriantation.fr/docs/AIPD_Modele_Etablissement.pdf</w:t>
      </w:r>
    </w:p>
    <w:p>
      <w:pPr>
        <w:pStyle w:val="Compact"/>
        <w:numPr>
          <w:ilvl w:val="0"/>
          <w:numId w:val="1012"/>
        </w:numPr>
      </w:pPr>
      <w:r>
        <w:rPr>
          <w:lang w:val="fr-FR"/>
        </w:rPr>
        <w:t xml:space="preserve">Fiche de registre des traitements pré-remplie (article 30 RGPD) : https://oriantation.fr/documents/fiche-registre-traitements.pdf</w:t>
      </w:r>
    </w:p>
    <w:p>
      <w:pPr>
        <w:pStyle w:val="Compact"/>
        <w:numPr>
          <w:ilvl w:val="0"/>
          <w:numId w:val="1012"/>
        </w:numPr>
      </w:pPr>
      <w:r>
        <w:rPr>
          <w:lang w:val="fr-FR"/>
        </w:rPr>
        <w:t xml:space="preserve">Notice d’information à destination des familles : https://oriantation.fr/documents/notice-information-parents.pdf</w:t>
      </w:r>
    </w:p>
    <w:p>
      <w:pPr>
        <w:pStyle w:val="Compact"/>
        <w:numPr>
          <w:ilvl w:val="0"/>
          <w:numId w:val="1012"/>
        </w:numPr>
      </w:pPr>
      <w:r>
        <w:rPr>
          <w:lang w:val="fr-FR"/>
        </w:rPr>
        <w:t xml:space="preserve">Trame FRIA pré-remplie (article 27 du règlement IA), fournie par anticipation de l’échéance du 2 décembre 2027 : https://oriantation.fr/documents/trame-fria.pdf</w:t>
      </w:r>
    </w:p>
    <w:p>
      <w:pPr>
        <w:pStyle w:val="Compact"/>
        <w:numPr>
          <w:ilvl w:val="0"/>
          <w:numId w:val="1012"/>
        </w:numPr>
      </w:pPr>
      <w:r>
        <w:rPr>
          <w:lang w:val="fr-FR"/>
        </w:rPr>
        <w:t xml:space="preserve">AIPD complète de l’éditeur : disponible sur demande</w:t>
      </w:r>
    </w:p>
    <w:p>
      <w:pPr>
        <w:pStyle w:val="Compact"/>
        <w:numPr>
          <w:ilvl w:val="0"/>
          <w:numId w:val="1012"/>
        </w:numPr>
      </w:pPr>
      <w:r>
        <w:rPr>
          <w:lang w:val="fr-FR"/>
        </w:rPr>
        <w:t xml:space="preserve">Annexe AI Act de l’éditeur : disponible sur demande</w:t>
      </w:r>
    </w:p>
    <w:p>
      <w:pPr>
        <w:pStyle w:val="FirstParagraph"/>
      </w:pPr>
      <w:r>
        <w:rPr>
          <w:lang w:val="fr-FR"/>
        </w:rPr>
        <w:t xml:space="preserve">L’ensemble de ces pièces est rassemblé sur https://oriantation.fr/guides/etablissements.html</w:t>
      </w:r>
    </w:p>
    <w:p>
      <w:r>
        <w:pict>
          <v:rect style="width:0;height:1.5pt" o:hralign="center" o:hrstd="t" o:hr="t"/>
        </w:pict>
      </w:r>
    </w:p>
    <w:bookmarkEnd w:id="38"/>
    <w:bookmarkStart w:id="39" w:name="annexe-c---enseignants-concernés"/>
    <w:p>
      <w:pPr>
        <w:pStyle w:val="Heading2"/>
      </w:pPr>
      <w:r>
        <w:rPr>
          <w:lang w:val="fr-FR"/>
        </w:rPr>
        <w:t xml:space="preserve">Annexe C - Enseignants concernés</w:t>
      </w:r>
    </w:p>
    <w:tbl>
      <w:tblPr>
        <w:tblStyle w:val="Table"/>
        <w:tblW w:type="dxa" w:w="9638"/>
        <w:tblLook w:firstRow="1" w:lastRow="0" w:firstColumn="0" w:lastColumn="0" w:noHBand="0" w:noVBand="0" w:val="0020"/>
      </w:tblPr>
      <w:tblGrid>
        <w:gridCol w:w="1898"/>
        <w:gridCol w:w="3212"/>
        <w:gridCol w:w="2774"/>
        <w:gridCol w:w="1752"/>
      </w:tblGrid>
      <w:tr>
        <w:trPr>
          <w:tblHeader w:val="on"/>
        </w:trPr>
        <w:tc>
          <w:tcPr>
            <w:shd w:val="clear" w:color="auto" w:fill="0891B2"/>
            <w:tcW w:type="dxa" w:w="1898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Nom et prénom</w:t>
            </w:r>
          </w:p>
        </w:tc>
        <w:tc>
          <w:tcPr>
            <w:shd w:val="clear" w:color="auto" w:fill="0891B2"/>
            <w:tcW w:type="dxa" w:w="3212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Discipline ou fonction</w:t>
            </w:r>
          </w:p>
        </w:tc>
        <w:tc>
          <w:tcPr>
            <w:shd w:val="clear" w:color="auto" w:fill="0891B2"/>
            <w:tcW w:type="dxa" w:w="2774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Email professionnel</w:t>
            </w:r>
          </w:p>
        </w:tc>
        <w:tc>
          <w:tcPr>
            <w:shd w:val="clear" w:color="auto" w:fill="0891B2"/>
            <w:tcW w:type="dxa" w:w="1752"/>
          </w:tcPr>
          <w:tcPr/>
          <w:p>
            <w:pPr>
              <w:pStyle w:val="Compact"/>
            </w:pPr>
            <w:r>
              <w:rPr>
                <w:b/>
                <w:color w:val="FFFFFF"/>
                <w:lang w:val="fr-FR"/>
              </w:rPr>
              <w:t xml:space="preserve">Date</w:t>
            </w:r>
          </w:p>
        </w:tc>
      </w:tr>
      <w:tr>
        <w:tc>
          <w:tcPr>
            <w:tcW w:type="dxa" w:w="1898"/>
          </w:tcPr>
          <w:tcPr/>
          <w:p>
            <w:pPr>
              <w:pStyle w:val="Compact"/>
            </w:pPr>
          </w:p>
        </w:tc>
        <w:tc>
          <w:tcPr>
            <w:tcW w:type="dxa" w:w="3212"/>
          </w:tcPr>
          <w:tcPr/>
          <w:p>
            <w:pPr>
              <w:pStyle w:val="Compact"/>
            </w:pPr>
          </w:p>
        </w:tc>
        <w:tc>
          <w:tcPr>
            <w:tcW w:type="dxa" w:w="2774"/>
          </w:tcPr>
          <w:tcPr/>
          <w:p>
            <w:pPr>
              <w:pStyle w:val="Compact"/>
            </w:pPr>
          </w:p>
        </w:tc>
        <w:tc>
          <w:tcPr>
            <w:tcW w:type="dxa" w:w="1752"/>
          </w:tcPr>
          <w:tcPr/>
          <w:p>
            <w:pPr>
              <w:pStyle w:val="Compact"/>
            </w:pPr>
          </w:p>
        </w:tc>
      </w:tr>
      <w:tr>
        <w:tc>
          <w:tcPr>
            <w:tcW w:type="dxa" w:w="1898"/>
          </w:tcPr>
          <w:tcPr/>
          <w:p>
            <w:pPr>
              <w:pStyle w:val="Compact"/>
            </w:pPr>
          </w:p>
        </w:tc>
        <w:tc>
          <w:tcPr>
            <w:tcW w:type="dxa" w:w="3212"/>
          </w:tcPr>
          <w:tcPr/>
          <w:p>
            <w:pPr>
              <w:pStyle w:val="Compact"/>
            </w:pPr>
          </w:p>
        </w:tc>
        <w:tc>
          <w:tcPr>
            <w:tcW w:type="dxa" w:w="2774"/>
          </w:tcPr>
          <w:tcPr/>
          <w:p>
            <w:pPr>
              <w:pStyle w:val="Compact"/>
            </w:pPr>
          </w:p>
        </w:tc>
        <w:tc>
          <w:tcPr>
            <w:tcW w:type="dxa" w:w="1752"/>
          </w:tcPr>
          <w:tcPr/>
          <w:p>
            <w:pPr>
              <w:pStyle w:val="Compact"/>
            </w:pPr>
          </w:p>
        </w:tc>
      </w:tr>
      <w:tr>
        <w:tc>
          <w:tcPr>
            <w:tcW w:type="dxa" w:w="1898"/>
          </w:tcPr>
          <w:tcPr/>
          <w:p>
            <w:pPr>
              <w:pStyle w:val="Compact"/>
            </w:pPr>
          </w:p>
        </w:tc>
        <w:tc>
          <w:tcPr>
            <w:tcW w:type="dxa" w:w="3212"/>
          </w:tcPr>
          <w:tcPr/>
          <w:p>
            <w:pPr>
              <w:pStyle w:val="Compact"/>
            </w:pPr>
          </w:p>
        </w:tc>
        <w:tc>
          <w:tcPr>
            <w:tcW w:type="dxa" w:w="2774"/>
          </w:tcPr>
          <w:tcPr/>
          <w:p>
            <w:pPr>
              <w:pStyle w:val="Compact"/>
            </w:pPr>
          </w:p>
        </w:tc>
        <w:tc>
          <w:tcPr>
            <w:tcW w:type="dxa" w:w="1752"/>
          </w:tcPr>
          <w:tcPr/>
          <w:p>
            <w:pPr>
              <w:pStyle w:val="Compact"/>
            </w:pPr>
          </w:p>
        </w:tc>
      </w:tr>
      <w:tr>
        <w:tc>
          <w:tcPr>
            <w:tcW w:type="dxa" w:w="1898"/>
          </w:tcPr>
          <w:tcPr/>
          <w:p>
            <w:pPr>
              <w:pStyle w:val="Compact"/>
            </w:pPr>
          </w:p>
        </w:tc>
        <w:tc>
          <w:tcPr>
            <w:tcW w:type="dxa" w:w="3212"/>
          </w:tcPr>
          <w:tcPr/>
          <w:p>
            <w:pPr>
              <w:pStyle w:val="Compact"/>
            </w:pPr>
          </w:p>
        </w:tc>
        <w:tc>
          <w:tcPr>
            <w:tcW w:type="dxa" w:w="2774"/>
          </w:tcPr>
          <w:tcPr/>
          <w:p>
            <w:pPr>
              <w:pStyle w:val="Compact"/>
            </w:pPr>
          </w:p>
        </w:tc>
        <w:tc>
          <w:tcPr>
            <w:tcW w:type="dxa" w:w="1752"/>
          </w:tcPr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lang w:val="fr-FR"/>
        </w:rPr>
        <w:t xml:space="preserve">Cette annexe est tenue à jour par le Responsable de traitement. L’ajout ou le retrait d’un enseignant ne nécessite</w:t>
      </w:r>
      <w:r>
        <w:rPr>
          <w:lang w:val="fr-FR"/>
        </w:rPr>
        <w:t xml:space="preserve"> </w:t>
      </w:r>
      <w:r>
        <w:rPr>
          <w:b/>
          <w:bCs/>
          <w:lang w:val="fr-FR"/>
        </w:rPr>
        <w:t xml:space="preserve">aucun nouvel accord</w:t>
      </w:r>
      <w:r>
        <w:rPr>
          <w:lang w:val="fr-FR"/>
        </w:rP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  <w:lang w:val="fr-FR"/>
        </w:rPr>
        <w:t xml:space="preserve">Document généré depuis OrIAntation - https://oriantation.fr</w:t>
      </w:r>
    </w:p>
    <w:p>
      <w:pPr>
        <w:pStyle w:val="BodyText"/>
      </w:pPr>
      <w:r>
        <w:rPr>
          <w:i/>
          <w:iCs/>
          <w:lang w:val="fr-FR"/>
        </w:rPr>
        <w:t xml:space="preserve">Version en ligne : https://oriantation.fr/guides/accord-sous-traitance.html</w:t>
      </w:r>
    </w:p>
    <w:bookmarkEnd w:id="39"/>
    <w:bookmarkEnd w:id="40"/>
    <w:sectPr>
      <w:footnotePr>
        <w:numRestart w:val="eachSect"/>
      </w:footnotePr>
      <w:pgSz w:w="11906" w:h="16838"/>
      <w:pgMar w:top="1440" w:right="1134" w:bottom="1440" w:left="1134" w:header="720" w:footer="72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fr-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pBdr>
        <w:bottom w:color="0891B2" w:space="4" w:sz="18" w:val="single"/>
      </w:pBdr>
      <w:keepNext/>
      <w:keepLines/>
      <w:spacing w:after="80" w:before="360"/>
      <w:outlineLvl w:val="0"/>
    </w:pPr>
    <w:rPr>
      <w:b/>
      <w:color w:val="1A3263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pBdr>
        <w:bottom w:color="0891B2" w:space="2" w:sz="8" w:val="single"/>
      </w:pBdr>
      <w:keepNext/>
      <w:keepLines/>
      <w:spacing w:after="80" w:before="160"/>
      <w:outlineLvl w:val="1"/>
    </w:pPr>
    <w:rPr>
      <w:b/>
      <w:color w:val="0891B2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b/>
      <w:color w:val="0891B2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b/>
      <w:color w:val="334155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fr-FR</dc:language>
  <cp:keywords/>
  <dcterms:created xsi:type="dcterms:W3CDTF">2026-09-05T10:40:30Z</dcterms:created>
  <dcterms:modified xsi:type="dcterms:W3CDTF">2026-09-05T10:40:30Z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